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F4054" w14:textId="77777777" w:rsidR="00084BFA" w:rsidRDefault="00084BFA" w:rsidP="00727319">
      <w:pPr>
        <w:pStyle w:val="Default"/>
      </w:pPr>
    </w:p>
    <w:p w14:paraId="47D11323" w14:textId="05E63958" w:rsidR="00084BFA" w:rsidRPr="00C74A39" w:rsidRDefault="00084BFA" w:rsidP="00727319">
      <w:pPr>
        <w:rPr>
          <w:rStyle w:val="A0"/>
          <w:rFonts w:cstheme="minorHAnsi"/>
          <w:sz w:val="32"/>
        </w:rPr>
      </w:pPr>
      <w:r w:rsidRPr="00C74A39">
        <w:rPr>
          <w:sz w:val="6"/>
        </w:rPr>
        <w:t xml:space="preserve"> </w:t>
      </w:r>
      <w:r w:rsidRPr="00C74A39">
        <w:rPr>
          <w:rStyle w:val="A0"/>
          <w:rFonts w:cstheme="minorHAnsi"/>
          <w:sz w:val="32"/>
        </w:rPr>
        <w:t>Modelling the Economic Impact of a Citizen’s Basic Income in Scotland – a guide to the report released today</w:t>
      </w:r>
    </w:p>
    <w:p w14:paraId="5C799382" w14:textId="17AE5F8D" w:rsidR="00614982" w:rsidRPr="00255C0E" w:rsidRDefault="00084BFA" w:rsidP="00727319">
      <w:pPr>
        <w:rPr>
          <w:rFonts w:asciiTheme="majorHAnsi" w:hAnsiTheme="majorHAnsi" w:cstheme="majorHAnsi"/>
        </w:rPr>
      </w:pPr>
      <w:r w:rsidRPr="00255C0E">
        <w:rPr>
          <w:rFonts w:asciiTheme="majorHAnsi" w:hAnsiTheme="majorHAnsi" w:cstheme="majorHAnsi"/>
        </w:rPr>
        <w:t xml:space="preserve">The </w:t>
      </w:r>
      <w:hyperlink r:id="rId8" w:history="1">
        <w:r w:rsidR="00D653F6" w:rsidRPr="0097628A">
          <w:rPr>
            <w:rStyle w:val="Hyperlink"/>
            <w:rFonts w:asciiTheme="majorHAnsi" w:hAnsiTheme="majorHAnsi" w:cstheme="majorHAnsi"/>
          </w:rPr>
          <w:t>report</w:t>
        </w:r>
      </w:hyperlink>
      <w:r w:rsidRPr="00255C0E">
        <w:rPr>
          <w:rFonts w:asciiTheme="majorHAnsi" w:hAnsiTheme="majorHAnsi" w:cstheme="majorHAnsi"/>
        </w:rPr>
        <w:t xml:space="preserve">, co-authored by researchers from the Fraser of Allander Institute, Manchester Metropolitan University and IPPR Scotland, </w:t>
      </w:r>
      <w:r w:rsidR="00D653F6" w:rsidRPr="00255C0E">
        <w:rPr>
          <w:rFonts w:asciiTheme="majorHAnsi" w:hAnsiTheme="majorHAnsi" w:cstheme="majorHAnsi"/>
        </w:rPr>
        <w:t>looks at the costs and benefits of implementing a basic income in Scotland and the channels through which it may impact upon the economy. </w:t>
      </w:r>
    </w:p>
    <w:p w14:paraId="35AABCE6" w14:textId="4C8A92AB" w:rsidR="00836D85" w:rsidRPr="00255C0E" w:rsidRDefault="00084BFA" w:rsidP="00727319">
      <w:pPr>
        <w:rPr>
          <w:rFonts w:asciiTheme="majorHAnsi" w:hAnsiTheme="majorHAnsi" w:cstheme="majorHAnsi"/>
        </w:rPr>
      </w:pPr>
      <w:r w:rsidRPr="00255C0E">
        <w:rPr>
          <w:rFonts w:asciiTheme="majorHAnsi" w:hAnsiTheme="majorHAnsi" w:cstheme="majorHAnsi"/>
        </w:rPr>
        <w:t xml:space="preserve">The modelling we were asked to carry out </w:t>
      </w:r>
      <w:r w:rsidR="00D653F6" w:rsidRPr="00255C0E">
        <w:rPr>
          <w:rFonts w:asciiTheme="majorHAnsi" w:hAnsiTheme="majorHAnsi" w:cstheme="majorHAnsi"/>
        </w:rPr>
        <w:t>is fiscally neutral – that is</w:t>
      </w:r>
      <w:r w:rsidR="001E2A27" w:rsidRPr="00255C0E">
        <w:rPr>
          <w:rFonts w:asciiTheme="majorHAnsi" w:hAnsiTheme="majorHAnsi" w:cstheme="majorHAnsi"/>
        </w:rPr>
        <w:t>,</w:t>
      </w:r>
      <w:r w:rsidR="00D653F6" w:rsidRPr="00255C0E">
        <w:rPr>
          <w:rFonts w:asciiTheme="majorHAnsi" w:hAnsiTheme="majorHAnsi" w:cstheme="majorHAnsi"/>
        </w:rPr>
        <w:t xml:space="preserve"> it looks at the reality of how to pay for a basic income, as well as the impact of </w:t>
      </w:r>
      <w:r w:rsidR="00836D85" w:rsidRPr="00255C0E">
        <w:rPr>
          <w:rFonts w:asciiTheme="majorHAnsi" w:hAnsiTheme="majorHAnsi" w:cstheme="majorHAnsi"/>
        </w:rPr>
        <w:t xml:space="preserve">paying </w:t>
      </w:r>
      <w:r w:rsidR="00320D4F" w:rsidRPr="00255C0E">
        <w:rPr>
          <w:rFonts w:asciiTheme="majorHAnsi" w:hAnsiTheme="majorHAnsi" w:cstheme="majorHAnsi"/>
        </w:rPr>
        <w:t>out</w:t>
      </w:r>
      <w:r w:rsidR="00836D85" w:rsidRPr="00255C0E">
        <w:rPr>
          <w:rFonts w:asciiTheme="majorHAnsi" w:hAnsiTheme="majorHAnsi" w:cstheme="majorHAnsi"/>
        </w:rPr>
        <w:t xml:space="preserve"> </w:t>
      </w:r>
      <w:r w:rsidR="00D653F6" w:rsidRPr="00255C0E">
        <w:rPr>
          <w:rFonts w:asciiTheme="majorHAnsi" w:hAnsiTheme="majorHAnsi" w:cstheme="majorHAnsi"/>
        </w:rPr>
        <w:t>the basic income.</w:t>
      </w:r>
    </w:p>
    <w:p w14:paraId="3B29BF59" w14:textId="7B7AAFFB" w:rsidR="00836D85" w:rsidRPr="00255C0E" w:rsidRDefault="00D653F6" w:rsidP="00727319">
      <w:pPr>
        <w:rPr>
          <w:rFonts w:asciiTheme="majorHAnsi" w:hAnsiTheme="majorHAnsi" w:cstheme="majorHAnsi"/>
        </w:rPr>
      </w:pPr>
      <w:r w:rsidRPr="00255C0E">
        <w:rPr>
          <w:rFonts w:asciiTheme="majorHAnsi" w:hAnsiTheme="majorHAnsi" w:cstheme="majorHAnsi"/>
        </w:rPr>
        <w:t>We were asked to model</w:t>
      </w:r>
      <w:r w:rsidR="00836D85" w:rsidRPr="00255C0E">
        <w:rPr>
          <w:rFonts w:asciiTheme="majorHAnsi" w:hAnsiTheme="majorHAnsi" w:cstheme="majorHAnsi"/>
        </w:rPr>
        <w:t xml:space="preserve"> 2 versions: </w:t>
      </w:r>
      <w:r w:rsidRPr="00255C0E">
        <w:rPr>
          <w:rFonts w:asciiTheme="majorHAnsi" w:hAnsiTheme="majorHAnsi" w:cstheme="majorHAnsi"/>
        </w:rPr>
        <w:t xml:space="preserve">a </w:t>
      </w:r>
      <w:r w:rsidR="00836D85" w:rsidRPr="00255C0E">
        <w:rPr>
          <w:rFonts w:asciiTheme="majorHAnsi" w:hAnsiTheme="majorHAnsi" w:cstheme="majorHAnsi"/>
        </w:rPr>
        <w:t xml:space="preserve">lower level </w:t>
      </w:r>
      <w:r w:rsidRPr="00255C0E">
        <w:rPr>
          <w:rFonts w:asciiTheme="majorHAnsi" w:hAnsiTheme="majorHAnsi" w:cstheme="majorHAnsi"/>
        </w:rPr>
        <w:t>basic income that replicates the standard allowances already in place in much of the social security system</w:t>
      </w:r>
      <w:r w:rsidR="00836D85" w:rsidRPr="00255C0E">
        <w:rPr>
          <w:rFonts w:asciiTheme="majorHAnsi" w:hAnsiTheme="majorHAnsi" w:cstheme="majorHAnsi"/>
        </w:rPr>
        <w:t xml:space="preserve"> and a</w:t>
      </w:r>
      <w:r w:rsidRPr="00255C0E">
        <w:rPr>
          <w:rFonts w:asciiTheme="majorHAnsi" w:hAnsiTheme="majorHAnsi" w:cstheme="majorHAnsi"/>
        </w:rPr>
        <w:t xml:space="preserve"> second, higher level</w:t>
      </w:r>
      <w:r w:rsidR="00320D4F" w:rsidRPr="00255C0E">
        <w:rPr>
          <w:rFonts w:asciiTheme="majorHAnsi" w:hAnsiTheme="majorHAnsi" w:cstheme="majorHAnsi"/>
        </w:rPr>
        <w:t>,</w:t>
      </w:r>
      <w:r w:rsidRPr="00255C0E">
        <w:rPr>
          <w:rFonts w:asciiTheme="majorHAnsi" w:hAnsiTheme="majorHAnsi" w:cstheme="majorHAnsi"/>
        </w:rPr>
        <w:t xml:space="preserve"> CBI that used the Joseph Rowntree Foundation's Minimum Income Standard as a guide to the level of payments.</w:t>
      </w:r>
    </w:p>
    <w:p w14:paraId="6B32EA59" w14:textId="6BE59DFF" w:rsidR="00836D85" w:rsidRPr="00255C0E" w:rsidRDefault="00D653F6" w:rsidP="00727319">
      <w:pPr>
        <w:rPr>
          <w:rFonts w:asciiTheme="majorHAnsi" w:hAnsiTheme="majorHAnsi" w:cstheme="majorHAnsi"/>
        </w:rPr>
      </w:pPr>
      <w:r w:rsidRPr="00255C0E">
        <w:rPr>
          <w:rFonts w:asciiTheme="majorHAnsi" w:hAnsiTheme="majorHAnsi" w:cstheme="majorHAnsi"/>
        </w:rPr>
        <w:t>The cost of the lower basic income is estimated to be £27 billion. The cost of the higher-level basic income is estimated to be £58 billion.</w:t>
      </w:r>
      <w:r w:rsidR="001E2A27" w:rsidRPr="00255C0E">
        <w:rPr>
          <w:rFonts w:asciiTheme="majorHAnsi" w:hAnsiTheme="majorHAnsi" w:cstheme="majorHAnsi"/>
        </w:rPr>
        <w:t xml:space="preserve">  </w:t>
      </w:r>
    </w:p>
    <w:p w14:paraId="3F74A363" w14:textId="1367BEAF" w:rsidR="00836D85" w:rsidRPr="00255C0E" w:rsidRDefault="00D653F6" w:rsidP="00727319">
      <w:pPr>
        <w:rPr>
          <w:rFonts w:asciiTheme="majorHAnsi" w:hAnsiTheme="majorHAnsi" w:cstheme="majorHAnsi"/>
        </w:rPr>
      </w:pPr>
      <w:r w:rsidRPr="00255C0E">
        <w:rPr>
          <w:rFonts w:asciiTheme="majorHAnsi" w:hAnsiTheme="majorHAnsi" w:cstheme="majorHAnsi"/>
        </w:rPr>
        <w:t xml:space="preserve">Although savings could not be realised within the current devolution framework, around £20 billion could theoretically be offset via replacing existing benefits </w:t>
      </w:r>
      <w:r w:rsidR="00AA4D6C" w:rsidRPr="00255C0E">
        <w:rPr>
          <w:rFonts w:asciiTheme="majorHAnsi" w:hAnsiTheme="majorHAnsi" w:cstheme="majorHAnsi"/>
        </w:rPr>
        <w:t xml:space="preserve">(including the state pension) </w:t>
      </w:r>
      <w:r w:rsidRPr="00255C0E">
        <w:rPr>
          <w:rFonts w:asciiTheme="majorHAnsi" w:hAnsiTheme="majorHAnsi" w:cstheme="majorHAnsi"/>
        </w:rPr>
        <w:t xml:space="preserve">and eliminating the personal allowance. This leaves </w:t>
      </w:r>
      <w:r w:rsidR="001E2A27" w:rsidRPr="00255C0E">
        <w:rPr>
          <w:rFonts w:asciiTheme="majorHAnsi" w:hAnsiTheme="majorHAnsi" w:cstheme="majorHAnsi"/>
        </w:rPr>
        <w:t xml:space="preserve">around </w:t>
      </w:r>
      <w:r w:rsidRPr="00255C0E">
        <w:rPr>
          <w:rFonts w:asciiTheme="majorHAnsi" w:hAnsiTheme="majorHAnsi" w:cstheme="majorHAnsi"/>
        </w:rPr>
        <w:t>a £7 billion funding requirement for the low</w:t>
      </w:r>
      <w:r w:rsidR="00320D4F" w:rsidRPr="00255C0E">
        <w:rPr>
          <w:rFonts w:asciiTheme="majorHAnsi" w:hAnsiTheme="majorHAnsi" w:cstheme="majorHAnsi"/>
        </w:rPr>
        <w:t>er</w:t>
      </w:r>
      <w:r w:rsidRPr="00255C0E">
        <w:rPr>
          <w:rFonts w:asciiTheme="majorHAnsi" w:hAnsiTheme="majorHAnsi" w:cstheme="majorHAnsi"/>
        </w:rPr>
        <w:t xml:space="preserve"> level CBI and </w:t>
      </w:r>
      <w:r w:rsidR="001E2A27" w:rsidRPr="00255C0E">
        <w:rPr>
          <w:rFonts w:asciiTheme="majorHAnsi" w:hAnsiTheme="majorHAnsi" w:cstheme="majorHAnsi"/>
        </w:rPr>
        <w:t xml:space="preserve">around </w:t>
      </w:r>
      <w:r w:rsidRPr="00255C0E">
        <w:rPr>
          <w:rFonts w:asciiTheme="majorHAnsi" w:hAnsiTheme="majorHAnsi" w:cstheme="majorHAnsi"/>
        </w:rPr>
        <w:t>£40 billion for the high level.</w:t>
      </w:r>
    </w:p>
    <w:p w14:paraId="4E2EAC35" w14:textId="6C23CB20" w:rsidR="00836D85" w:rsidRPr="00255C0E" w:rsidRDefault="00D653F6" w:rsidP="00727319">
      <w:pPr>
        <w:rPr>
          <w:rFonts w:asciiTheme="majorHAnsi" w:hAnsiTheme="majorHAnsi" w:cstheme="majorHAnsi"/>
        </w:rPr>
      </w:pPr>
      <w:r w:rsidRPr="00255C0E">
        <w:rPr>
          <w:rFonts w:asciiTheme="majorHAnsi" w:hAnsiTheme="majorHAnsi" w:cstheme="majorHAnsi"/>
        </w:rPr>
        <w:t>Our model looks at the impact of using income tax to pay for the remaining cost, and then considers the impact o</w:t>
      </w:r>
      <w:r w:rsidR="00836D85" w:rsidRPr="00255C0E">
        <w:rPr>
          <w:rFonts w:asciiTheme="majorHAnsi" w:hAnsiTheme="majorHAnsi" w:cstheme="majorHAnsi"/>
        </w:rPr>
        <w:t>n</w:t>
      </w:r>
      <w:r w:rsidRPr="00255C0E">
        <w:rPr>
          <w:rFonts w:asciiTheme="majorHAnsi" w:hAnsiTheme="majorHAnsi" w:cstheme="majorHAnsi"/>
        </w:rPr>
        <w:t xml:space="preserve"> the economy of both the basic income and changes in tax. </w:t>
      </w:r>
      <w:r w:rsidR="00AA4D6C" w:rsidRPr="00255C0E">
        <w:rPr>
          <w:rFonts w:asciiTheme="majorHAnsi" w:hAnsiTheme="majorHAnsi" w:cstheme="majorHAnsi"/>
        </w:rPr>
        <w:t>To fund the lower level basic income, an increase in 8 points on each</w:t>
      </w:r>
      <w:r w:rsidR="0017011F" w:rsidRPr="00255C0E">
        <w:rPr>
          <w:rFonts w:asciiTheme="majorHAnsi" w:hAnsiTheme="majorHAnsi" w:cstheme="majorHAnsi"/>
        </w:rPr>
        <w:t xml:space="preserve"> Scottish income tax</w:t>
      </w:r>
      <w:r w:rsidR="00AA4D6C" w:rsidRPr="00255C0E">
        <w:rPr>
          <w:rFonts w:asciiTheme="majorHAnsi" w:hAnsiTheme="majorHAnsi" w:cstheme="majorHAnsi"/>
        </w:rPr>
        <w:t xml:space="preserve"> band would be required, with people paying income tax on even the first pound of income because of the abolition of the personal allowance. Changes to fund the higher-level CBI would be significantly greater. </w:t>
      </w:r>
    </w:p>
    <w:p w14:paraId="67648A3D" w14:textId="1ECAC35B" w:rsidR="00836D85" w:rsidRPr="00255C0E" w:rsidRDefault="00836D85" w:rsidP="00727319">
      <w:pPr>
        <w:rPr>
          <w:rFonts w:asciiTheme="majorHAnsi" w:hAnsiTheme="majorHAnsi" w:cstheme="majorHAnsi"/>
        </w:rPr>
      </w:pPr>
      <w:r w:rsidRPr="00255C0E">
        <w:rPr>
          <w:rFonts w:asciiTheme="majorHAnsi" w:hAnsiTheme="majorHAnsi" w:cstheme="majorHAnsi"/>
        </w:rPr>
        <w:t>O</w:t>
      </w:r>
      <w:r w:rsidR="00D653F6" w:rsidRPr="00255C0E">
        <w:rPr>
          <w:rFonts w:asciiTheme="majorHAnsi" w:hAnsiTheme="majorHAnsi" w:cstheme="majorHAnsi"/>
        </w:rPr>
        <w:t>ther tax combinations are possible, although using income tax provides a helpful benchmark given its scale, its progressive properties and its devolved nature.</w:t>
      </w:r>
      <w:r w:rsidRPr="00255C0E">
        <w:rPr>
          <w:rFonts w:asciiTheme="majorHAnsi" w:hAnsiTheme="majorHAnsi" w:cstheme="majorHAnsi"/>
        </w:rPr>
        <w:t xml:space="preserve"> Alternative taxes or spending cuts would also have </w:t>
      </w:r>
      <w:r w:rsidR="00320D4F" w:rsidRPr="00255C0E">
        <w:rPr>
          <w:rFonts w:asciiTheme="majorHAnsi" w:hAnsiTheme="majorHAnsi" w:cstheme="majorHAnsi"/>
        </w:rPr>
        <w:t>significant implications for the economy given the scale of the funding requirement</w:t>
      </w:r>
      <w:r w:rsidRPr="00255C0E">
        <w:rPr>
          <w:rFonts w:asciiTheme="majorHAnsi" w:hAnsiTheme="majorHAnsi" w:cstheme="majorHAnsi"/>
        </w:rPr>
        <w:t xml:space="preserve">. </w:t>
      </w:r>
    </w:p>
    <w:p w14:paraId="431522EB" w14:textId="0DC2562D" w:rsidR="00320D4F" w:rsidRPr="00255C0E" w:rsidRDefault="00D653F6" w:rsidP="00727319">
      <w:pPr>
        <w:rPr>
          <w:rFonts w:asciiTheme="majorHAnsi" w:hAnsiTheme="majorHAnsi" w:cstheme="majorHAnsi"/>
        </w:rPr>
      </w:pPr>
      <w:r w:rsidRPr="00255C0E">
        <w:rPr>
          <w:rFonts w:asciiTheme="majorHAnsi" w:hAnsiTheme="majorHAnsi" w:cstheme="majorHAnsi"/>
        </w:rPr>
        <w:t xml:space="preserve">We show that what happens to the economy depends upon how people respond to both the introduction of the basic income and the increase in tax. </w:t>
      </w:r>
      <w:r w:rsidR="00320D4F" w:rsidRPr="00255C0E">
        <w:rPr>
          <w:rFonts w:asciiTheme="majorHAnsi" w:hAnsiTheme="majorHAnsi" w:cstheme="majorHAnsi"/>
        </w:rPr>
        <w:t xml:space="preserve">55% of people would be net gainers from the lower level basic income we modelled and </w:t>
      </w:r>
      <w:r w:rsidR="00836D85" w:rsidRPr="00255C0E">
        <w:rPr>
          <w:rFonts w:asciiTheme="majorHAnsi" w:hAnsiTheme="majorHAnsi" w:cstheme="majorHAnsi"/>
        </w:rPr>
        <w:t xml:space="preserve">45% of people </w:t>
      </w:r>
      <w:r w:rsidR="00320D4F" w:rsidRPr="00255C0E">
        <w:rPr>
          <w:rFonts w:asciiTheme="majorHAnsi" w:hAnsiTheme="majorHAnsi" w:cstheme="majorHAnsi"/>
        </w:rPr>
        <w:t>would</w:t>
      </w:r>
      <w:r w:rsidR="00836D85" w:rsidRPr="00255C0E">
        <w:rPr>
          <w:rFonts w:asciiTheme="majorHAnsi" w:hAnsiTheme="majorHAnsi" w:cstheme="majorHAnsi"/>
        </w:rPr>
        <w:t xml:space="preserve"> </w:t>
      </w:r>
      <w:r w:rsidR="00320D4F" w:rsidRPr="00255C0E">
        <w:rPr>
          <w:rFonts w:asciiTheme="majorHAnsi" w:hAnsiTheme="majorHAnsi" w:cstheme="majorHAnsi"/>
        </w:rPr>
        <w:t xml:space="preserve">have less take-home income (i.e. after tax and the basic income is paid). </w:t>
      </w:r>
    </w:p>
    <w:p w14:paraId="0D230145" w14:textId="690E1748" w:rsidR="00836D85" w:rsidRPr="00255C0E" w:rsidRDefault="00D653F6" w:rsidP="00727319">
      <w:pPr>
        <w:rPr>
          <w:rFonts w:asciiTheme="majorHAnsi" w:hAnsiTheme="majorHAnsi" w:cstheme="majorHAnsi"/>
        </w:rPr>
      </w:pPr>
      <w:r w:rsidRPr="00255C0E">
        <w:rPr>
          <w:rFonts w:asciiTheme="majorHAnsi" w:hAnsiTheme="majorHAnsi" w:cstheme="majorHAnsi"/>
        </w:rPr>
        <w:t xml:space="preserve">If people who lose income take some action to restore their living standards by demanding more pay or changing how much they work (i.e. by changing their hours or moving elsewhere), then we might expect negative economic impacts. If people instead </w:t>
      </w:r>
      <w:r w:rsidR="00836D85" w:rsidRPr="00255C0E">
        <w:rPr>
          <w:rFonts w:asciiTheme="majorHAnsi" w:hAnsiTheme="majorHAnsi" w:cstheme="majorHAnsi"/>
        </w:rPr>
        <w:t>are content to see their own income reduced</w:t>
      </w:r>
      <w:r w:rsidR="00320D4F" w:rsidRPr="00255C0E">
        <w:rPr>
          <w:rFonts w:asciiTheme="majorHAnsi" w:hAnsiTheme="majorHAnsi" w:cstheme="majorHAnsi"/>
        </w:rPr>
        <w:t xml:space="preserve"> due to the existence of a basic income that benefits others</w:t>
      </w:r>
      <w:r w:rsidR="00255C0E">
        <w:rPr>
          <w:rFonts w:asciiTheme="majorHAnsi" w:hAnsiTheme="majorHAnsi" w:cstheme="majorHAnsi"/>
        </w:rPr>
        <w:t>,</w:t>
      </w:r>
      <w:r w:rsidRPr="00255C0E">
        <w:rPr>
          <w:rFonts w:asciiTheme="majorHAnsi" w:hAnsiTheme="majorHAnsi" w:cstheme="majorHAnsi"/>
        </w:rPr>
        <w:t xml:space="preserve"> then we might expect more positive impacts. </w:t>
      </w:r>
    </w:p>
    <w:p w14:paraId="2BBE909C" w14:textId="01A74712" w:rsidR="00767A47" w:rsidRPr="00255C0E" w:rsidRDefault="00D653F6" w:rsidP="00727319">
      <w:pPr>
        <w:rPr>
          <w:rFonts w:asciiTheme="majorHAnsi" w:hAnsiTheme="majorHAnsi" w:cstheme="majorHAnsi"/>
        </w:rPr>
      </w:pPr>
      <w:r w:rsidRPr="00255C0E">
        <w:rPr>
          <w:rFonts w:asciiTheme="majorHAnsi" w:hAnsiTheme="majorHAnsi" w:cstheme="majorHAnsi"/>
        </w:rPr>
        <w:t>Other impacts, such as changes to productivity (good and bad) may also occur.</w:t>
      </w:r>
      <w:r w:rsidR="00255C0E">
        <w:rPr>
          <w:rFonts w:asciiTheme="majorHAnsi" w:hAnsiTheme="majorHAnsi" w:cstheme="majorHAnsi"/>
        </w:rPr>
        <w:t xml:space="preserve"> </w:t>
      </w:r>
      <w:r w:rsidRPr="00255C0E">
        <w:rPr>
          <w:rFonts w:asciiTheme="majorHAnsi" w:hAnsiTheme="majorHAnsi" w:cstheme="majorHAnsi"/>
        </w:rPr>
        <w:t>At present, there is a lack of evidence – both here in Scotland and internationally – to say conclusively what the final economic impact will be.</w:t>
      </w:r>
    </w:p>
    <w:p w14:paraId="1C667A20" w14:textId="77777777" w:rsidR="00255C0E" w:rsidRDefault="00255C0E" w:rsidP="00727319">
      <w:pPr>
        <w:rPr>
          <w:rFonts w:asciiTheme="majorHAnsi" w:hAnsiTheme="majorHAnsi" w:cstheme="majorHAnsi"/>
          <w:b/>
        </w:rPr>
      </w:pPr>
    </w:p>
    <w:p w14:paraId="0693A42D" w14:textId="77777777" w:rsidR="00255C0E" w:rsidRDefault="00255C0E" w:rsidP="00727319">
      <w:pPr>
        <w:rPr>
          <w:rFonts w:asciiTheme="majorHAnsi" w:hAnsiTheme="majorHAnsi" w:cstheme="majorHAnsi"/>
          <w:b/>
        </w:rPr>
      </w:pPr>
    </w:p>
    <w:p w14:paraId="2870C819" w14:textId="2267E39C" w:rsidR="00B4509F" w:rsidRPr="00C74A39" w:rsidRDefault="0004506D" w:rsidP="00727319">
      <w:pPr>
        <w:rPr>
          <w:rFonts w:asciiTheme="majorHAnsi" w:hAnsiTheme="majorHAnsi" w:cstheme="majorHAnsi"/>
          <w:b/>
        </w:rPr>
      </w:pPr>
      <w:r w:rsidRPr="00C74A39">
        <w:rPr>
          <w:rFonts w:asciiTheme="majorHAnsi" w:hAnsiTheme="majorHAnsi" w:cstheme="majorHAnsi"/>
          <w:b/>
        </w:rPr>
        <w:lastRenderedPageBreak/>
        <w:t>Q&amp;A</w:t>
      </w:r>
    </w:p>
    <w:p w14:paraId="4F081CEA" w14:textId="2054320F" w:rsidR="0004506D" w:rsidRPr="00C74A39" w:rsidRDefault="0004506D" w:rsidP="00727319">
      <w:pPr>
        <w:rPr>
          <w:rFonts w:asciiTheme="majorHAnsi" w:hAnsiTheme="majorHAnsi" w:cstheme="majorHAnsi"/>
          <w:b/>
        </w:rPr>
      </w:pPr>
      <w:r w:rsidRPr="00C74A39">
        <w:rPr>
          <w:rFonts w:asciiTheme="majorHAnsi" w:hAnsiTheme="majorHAnsi" w:cstheme="majorHAnsi"/>
          <w:b/>
        </w:rPr>
        <w:t>Who carried out this work?</w:t>
      </w:r>
    </w:p>
    <w:p w14:paraId="59112457" w14:textId="31EFE813" w:rsidR="0004506D" w:rsidRPr="00C74A39" w:rsidRDefault="00320D4F" w:rsidP="00727319">
      <w:pPr>
        <w:rPr>
          <w:rFonts w:asciiTheme="majorHAnsi" w:hAnsiTheme="majorHAnsi" w:cstheme="majorHAnsi"/>
        </w:rPr>
      </w:pPr>
      <w:r w:rsidRPr="00C74A39">
        <w:rPr>
          <w:rFonts w:asciiTheme="majorHAnsi" w:hAnsiTheme="majorHAnsi" w:cstheme="majorHAnsi"/>
        </w:rPr>
        <w:t>This work was carried out by a team of researchers from the Fraser of Allander Institute at the University of Strathclyde, Manchester Metropolitan University and the Institute for Public Policy Research (IPPR) Scotland</w:t>
      </w:r>
    </w:p>
    <w:p w14:paraId="23F0B2F1" w14:textId="2CE5CCAB" w:rsidR="0004506D" w:rsidRPr="00C74A39" w:rsidRDefault="0004506D" w:rsidP="00727319">
      <w:pPr>
        <w:rPr>
          <w:rFonts w:asciiTheme="majorHAnsi" w:hAnsiTheme="majorHAnsi" w:cstheme="majorHAnsi"/>
          <w:b/>
        </w:rPr>
      </w:pPr>
      <w:r w:rsidRPr="00C74A39">
        <w:rPr>
          <w:rFonts w:asciiTheme="majorHAnsi" w:hAnsiTheme="majorHAnsi" w:cstheme="majorHAnsi"/>
          <w:b/>
        </w:rPr>
        <w:t>What were you asked to model?</w:t>
      </w:r>
    </w:p>
    <w:p w14:paraId="484AC5A3" w14:textId="77777777" w:rsidR="001C63F7" w:rsidRPr="00C74A39" w:rsidRDefault="001C63F7" w:rsidP="00727319">
      <w:pPr>
        <w:rPr>
          <w:rFonts w:asciiTheme="majorHAnsi" w:hAnsiTheme="majorHAnsi" w:cstheme="majorHAnsi"/>
        </w:rPr>
      </w:pPr>
      <w:r w:rsidRPr="00C74A39">
        <w:rPr>
          <w:rFonts w:asciiTheme="majorHAnsi" w:hAnsiTheme="majorHAnsi" w:cstheme="majorHAnsi"/>
        </w:rPr>
        <w:t>We were asked to look at the distributional and fiscal impacts of different revenue neutral CBI schemes and to use a macroeconomic model of the Scottish economy to highlight the channels through which such changes in the tax &amp; benefit system could impact upon economic outcomes over the long-run.</w:t>
      </w:r>
    </w:p>
    <w:p w14:paraId="7B7CDCEB" w14:textId="691A83AE" w:rsidR="00EC188E" w:rsidRPr="00C74A39" w:rsidRDefault="00A24FDA" w:rsidP="00727319">
      <w:pPr>
        <w:rPr>
          <w:rFonts w:asciiTheme="majorHAnsi" w:hAnsiTheme="majorHAnsi" w:cstheme="majorHAnsi"/>
        </w:rPr>
      </w:pPr>
      <w:r w:rsidRPr="00C74A39">
        <w:rPr>
          <w:rFonts w:asciiTheme="majorHAnsi" w:hAnsiTheme="majorHAnsi" w:cstheme="majorHAnsi"/>
        </w:rPr>
        <w:t xml:space="preserve">We were asked to model a </w:t>
      </w:r>
      <w:r w:rsidR="00A83AAC" w:rsidRPr="00C74A39">
        <w:rPr>
          <w:rFonts w:asciiTheme="majorHAnsi" w:hAnsiTheme="majorHAnsi" w:cstheme="majorHAnsi"/>
        </w:rPr>
        <w:t xml:space="preserve">basic income that </w:t>
      </w:r>
      <w:r w:rsidR="0001368C" w:rsidRPr="00C74A39">
        <w:rPr>
          <w:rFonts w:asciiTheme="majorHAnsi" w:hAnsiTheme="majorHAnsi" w:cstheme="majorHAnsi"/>
        </w:rPr>
        <w:t xml:space="preserve">replicates </w:t>
      </w:r>
      <w:r w:rsidR="00A83AAC" w:rsidRPr="00C74A39">
        <w:rPr>
          <w:rFonts w:asciiTheme="majorHAnsi" w:hAnsiTheme="majorHAnsi" w:cstheme="majorHAnsi"/>
        </w:rPr>
        <w:t xml:space="preserve">the standard allowances already in place in much of the social security system and applied these as a </w:t>
      </w:r>
      <w:r w:rsidR="00735729" w:rsidRPr="00C74A39">
        <w:rPr>
          <w:rFonts w:asciiTheme="majorHAnsi" w:hAnsiTheme="majorHAnsi" w:cstheme="majorHAnsi"/>
        </w:rPr>
        <w:t>Citizens Basic Income (CBI)</w:t>
      </w:r>
      <w:r w:rsidR="00A83AAC" w:rsidRPr="00C74A39">
        <w:rPr>
          <w:rFonts w:asciiTheme="majorHAnsi" w:hAnsiTheme="majorHAnsi" w:cstheme="majorHAnsi"/>
        </w:rPr>
        <w:t xml:space="preserve">. </w:t>
      </w:r>
      <w:r w:rsidRPr="00C74A39">
        <w:rPr>
          <w:rFonts w:asciiTheme="majorHAnsi" w:hAnsiTheme="majorHAnsi" w:cstheme="majorHAnsi"/>
        </w:rPr>
        <w:t xml:space="preserve"> </w:t>
      </w:r>
      <w:r w:rsidR="007E7E51" w:rsidRPr="00C74A39">
        <w:rPr>
          <w:rFonts w:asciiTheme="majorHAnsi" w:hAnsiTheme="majorHAnsi" w:cstheme="majorHAnsi"/>
        </w:rPr>
        <w:t xml:space="preserve">A second, higher level CBI was also modelled, and the results from this are available in the </w:t>
      </w:r>
      <w:r w:rsidRPr="00C74A39">
        <w:rPr>
          <w:rFonts w:asciiTheme="majorHAnsi" w:hAnsiTheme="majorHAnsi" w:cstheme="majorHAnsi"/>
        </w:rPr>
        <w:t xml:space="preserve">full </w:t>
      </w:r>
      <w:r w:rsidR="007E7E51" w:rsidRPr="00C74A39">
        <w:rPr>
          <w:rFonts w:asciiTheme="majorHAnsi" w:hAnsiTheme="majorHAnsi" w:cstheme="majorHAnsi"/>
        </w:rPr>
        <w:t xml:space="preserve">report. </w:t>
      </w:r>
      <w:r w:rsidRPr="00C74A39">
        <w:rPr>
          <w:rFonts w:asciiTheme="majorHAnsi" w:hAnsiTheme="majorHAnsi" w:cstheme="majorHAnsi"/>
        </w:rPr>
        <w:t xml:space="preserve"> </w:t>
      </w:r>
    </w:p>
    <w:p w14:paraId="7C0EC1DE" w14:textId="153C9EE0" w:rsidR="00003988" w:rsidRPr="00C74A39" w:rsidRDefault="00003988" w:rsidP="00727319">
      <w:pPr>
        <w:rPr>
          <w:rFonts w:asciiTheme="majorHAnsi" w:hAnsiTheme="majorHAnsi" w:cstheme="majorHAnsi"/>
          <w:b/>
        </w:rPr>
      </w:pPr>
      <w:r w:rsidRPr="00C74A39">
        <w:rPr>
          <w:rFonts w:asciiTheme="majorHAnsi" w:hAnsiTheme="majorHAnsi" w:cstheme="majorHAnsi"/>
          <w:b/>
        </w:rPr>
        <w:t xml:space="preserve">Table 1: Citizens Basic Income </w:t>
      </w:r>
      <w:r w:rsidR="001F7DAC" w:rsidRPr="00C74A39">
        <w:rPr>
          <w:rFonts w:asciiTheme="majorHAnsi" w:hAnsiTheme="majorHAnsi" w:cstheme="majorHAnsi"/>
          <w:b/>
        </w:rPr>
        <w:t xml:space="preserve">weekly </w:t>
      </w:r>
      <w:r w:rsidRPr="00C74A39">
        <w:rPr>
          <w:rFonts w:asciiTheme="majorHAnsi" w:hAnsiTheme="majorHAnsi" w:cstheme="majorHAnsi"/>
          <w:b/>
        </w:rPr>
        <w:t>values in 2019/20</w:t>
      </w:r>
    </w:p>
    <w:tbl>
      <w:tblPr>
        <w:tblStyle w:val="PlainTable2"/>
        <w:tblW w:w="0" w:type="auto"/>
        <w:jc w:val="center"/>
        <w:tblLook w:val="04A0" w:firstRow="1" w:lastRow="0" w:firstColumn="1" w:lastColumn="0" w:noHBand="0" w:noVBand="1"/>
      </w:tblPr>
      <w:tblGrid>
        <w:gridCol w:w="3261"/>
        <w:gridCol w:w="1265"/>
      </w:tblGrid>
      <w:tr w:rsidR="005A6727" w:rsidRPr="001E2A27" w14:paraId="3984076A" w14:textId="77777777" w:rsidTr="001A68D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1" w:type="dxa"/>
          </w:tcPr>
          <w:p w14:paraId="00341FFB" w14:textId="77777777" w:rsidR="005A6727" w:rsidRPr="001E2A27" w:rsidRDefault="005A6727" w:rsidP="00727319">
            <w:pPr>
              <w:spacing w:before="60" w:after="60"/>
              <w:rPr>
                <w:rFonts w:asciiTheme="majorHAnsi" w:hAnsiTheme="majorHAnsi" w:cstheme="majorHAnsi"/>
                <w:color w:val="0D0D0D" w:themeColor="text1" w:themeTint="F2"/>
              </w:rPr>
            </w:pPr>
            <w:r w:rsidRPr="001E2A27">
              <w:rPr>
                <w:rFonts w:asciiTheme="majorHAnsi" w:hAnsiTheme="majorHAnsi" w:cstheme="majorHAnsi"/>
                <w:color w:val="0D0D0D" w:themeColor="text1" w:themeTint="F2"/>
              </w:rPr>
              <w:t>Age band</w:t>
            </w:r>
          </w:p>
        </w:tc>
        <w:tc>
          <w:tcPr>
            <w:tcW w:w="1265" w:type="dxa"/>
          </w:tcPr>
          <w:p w14:paraId="6ABB965B" w14:textId="795BCE2B" w:rsidR="005A6727" w:rsidRPr="00084BFA" w:rsidRDefault="005A6727" w:rsidP="00727319">
            <w:pPr>
              <w:spacing w:before="60" w:after="6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D0D0D" w:themeColor="text1" w:themeTint="F2"/>
              </w:rPr>
            </w:pPr>
            <w:r w:rsidRPr="00084BFA">
              <w:rPr>
                <w:rFonts w:asciiTheme="majorHAnsi" w:hAnsiTheme="majorHAnsi" w:cstheme="majorHAnsi"/>
                <w:color w:val="0D0D0D" w:themeColor="text1" w:themeTint="F2"/>
              </w:rPr>
              <w:t>Low-level CBI</w:t>
            </w:r>
          </w:p>
        </w:tc>
      </w:tr>
      <w:tr w:rsidR="005A6727" w:rsidRPr="001E2A27" w14:paraId="00EE8EF7" w14:textId="77777777" w:rsidTr="001A68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1" w:type="dxa"/>
            <w:tcBorders>
              <w:bottom w:val="nil"/>
            </w:tcBorders>
          </w:tcPr>
          <w:p w14:paraId="191D3405" w14:textId="77777777" w:rsidR="005A6727" w:rsidRPr="001E2A27" w:rsidRDefault="005A6727" w:rsidP="00727319">
            <w:pPr>
              <w:spacing w:before="60" w:after="60"/>
              <w:rPr>
                <w:rFonts w:asciiTheme="majorHAnsi" w:hAnsiTheme="majorHAnsi" w:cstheme="majorHAnsi"/>
                <w:color w:val="0D0D0D" w:themeColor="text1" w:themeTint="F2"/>
              </w:rPr>
            </w:pPr>
            <w:r w:rsidRPr="001E2A27">
              <w:rPr>
                <w:rFonts w:asciiTheme="majorHAnsi" w:hAnsiTheme="majorHAnsi" w:cstheme="majorHAnsi"/>
                <w:color w:val="0D0D0D" w:themeColor="text1" w:themeTint="F2"/>
              </w:rPr>
              <w:t>0 to 15</w:t>
            </w:r>
          </w:p>
        </w:tc>
        <w:tc>
          <w:tcPr>
            <w:tcW w:w="1265" w:type="dxa"/>
            <w:tcBorders>
              <w:bottom w:val="nil"/>
            </w:tcBorders>
          </w:tcPr>
          <w:p w14:paraId="10615460" w14:textId="77777777" w:rsidR="005A6727" w:rsidRPr="00084BFA" w:rsidRDefault="005A6727" w:rsidP="00727319">
            <w:pPr>
              <w:spacing w:before="60"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D0D0D" w:themeColor="text1" w:themeTint="F2"/>
              </w:rPr>
            </w:pPr>
            <w:r w:rsidRPr="00084BFA">
              <w:rPr>
                <w:rFonts w:asciiTheme="majorHAnsi" w:hAnsiTheme="majorHAnsi" w:cstheme="majorHAnsi"/>
                <w:color w:val="0D0D0D" w:themeColor="text1" w:themeTint="F2"/>
              </w:rPr>
              <w:t>£84.54</w:t>
            </w:r>
          </w:p>
        </w:tc>
      </w:tr>
      <w:tr w:rsidR="005A6727" w:rsidRPr="001E2A27" w14:paraId="3E4AFC00" w14:textId="77777777" w:rsidTr="001A68D8">
        <w:trPr>
          <w:jc w:val="center"/>
        </w:trPr>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tcPr>
          <w:p w14:paraId="5AEF5406" w14:textId="77777777" w:rsidR="005A6727" w:rsidRPr="001E2A27" w:rsidRDefault="005A6727" w:rsidP="00727319">
            <w:pPr>
              <w:spacing w:before="60" w:after="60"/>
              <w:rPr>
                <w:rFonts w:asciiTheme="majorHAnsi" w:hAnsiTheme="majorHAnsi" w:cstheme="majorHAnsi"/>
                <w:color w:val="0D0D0D" w:themeColor="text1" w:themeTint="F2"/>
              </w:rPr>
            </w:pPr>
            <w:r w:rsidRPr="001E2A27">
              <w:rPr>
                <w:rFonts w:asciiTheme="majorHAnsi" w:hAnsiTheme="majorHAnsi" w:cstheme="majorHAnsi"/>
                <w:color w:val="0D0D0D" w:themeColor="text1" w:themeTint="F2"/>
              </w:rPr>
              <w:t>16 to 19</w:t>
            </w:r>
          </w:p>
        </w:tc>
        <w:tc>
          <w:tcPr>
            <w:tcW w:w="1265" w:type="dxa"/>
            <w:tcBorders>
              <w:top w:val="nil"/>
              <w:bottom w:val="nil"/>
            </w:tcBorders>
          </w:tcPr>
          <w:p w14:paraId="2A775029" w14:textId="77777777" w:rsidR="005A6727" w:rsidRPr="00084BFA" w:rsidRDefault="005A6727" w:rsidP="00727319">
            <w:pPr>
              <w:spacing w:before="60"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themeColor="text1" w:themeTint="F2"/>
              </w:rPr>
            </w:pPr>
            <w:r w:rsidRPr="00084BFA">
              <w:rPr>
                <w:rFonts w:asciiTheme="majorHAnsi" w:hAnsiTheme="majorHAnsi" w:cstheme="majorHAnsi"/>
                <w:color w:val="0D0D0D" w:themeColor="text1" w:themeTint="F2"/>
              </w:rPr>
              <w:t>£84</w:t>
            </w:r>
            <w:bookmarkStart w:id="0" w:name="_GoBack"/>
            <w:bookmarkEnd w:id="0"/>
            <w:r w:rsidRPr="00084BFA">
              <w:rPr>
                <w:rFonts w:asciiTheme="majorHAnsi" w:hAnsiTheme="majorHAnsi" w:cstheme="majorHAnsi"/>
                <w:color w:val="0D0D0D" w:themeColor="text1" w:themeTint="F2"/>
              </w:rPr>
              <w:t>.54</w:t>
            </w:r>
          </w:p>
        </w:tc>
      </w:tr>
      <w:tr w:rsidR="005A6727" w:rsidRPr="001E2A27" w14:paraId="6D951294" w14:textId="77777777" w:rsidTr="001A68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tcPr>
          <w:p w14:paraId="5DB2744C" w14:textId="77777777" w:rsidR="005A6727" w:rsidRPr="001E2A27" w:rsidRDefault="005A6727" w:rsidP="00727319">
            <w:pPr>
              <w:spacing w:before="60" w:after="60"/>
              <w:rPr>
                <w:rFonts w:asciiTheme="majorHAnsi" w:hAnsiTheme="majorHAnsi" w:cstheme="majorHAnsi"/>
                <w:color w:val="0D0D0D" w:themeColor="text1" w:themeTint="F2"/>
              </w:rPr>
            </w:pPr>
            <w:r w:rsidRPr="001E2A27">
              <w:rPr>
                <w:rFonts w:asciiTheme="majorHAnsi" w:hAnsiTheme="majorHAnsi" w:cstheme="majorHAnsi"/>
                <w:color w:val="0D0D0D" w:themeColor="text1" w:themeTint="F2"/>
              </w:rPr>
              <w:t>20 to 24</w:t>
            </w:r>
          </w:p>
        </w:tc>
        <w:tc>
          <w:tcPr>
            <w:tcW w:w="1265" w:type="dxa"/>
            <w:tcBorders>
              <w:top w:val="nil"/>
              <w:bottom w:val="nil"/>
            </w:tcBorders>
          </w:tcPr>
          <w:p w14:paraId="222481D2" w14:textId="77777777" w:rsidR="005A6727" w:rsidRPr="00084BFA" w:rsidRDefault="005A6727" w:rsidP="00727319">
            <w:pPr>
              <w:spacing w:before="60"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D0D0D" w:themeColor="text1" w:themeTint="F2"/>
              </w:rPr>
            </w:pPr>
            <w:r w:rsidRPr="00084BFA">
              <w:rPr>
                <w:rFonts w:asciiTheme="majorHAnsi" w:hAnsiTheme="majorHAnsi" w:cstheme="majorHAnsi"/>
                <w:color w:val="0D0D0D" w:themeColor="text1" w:themeTint="F2"/>
              </w:rPr>
              <w:t>£57.90</w:t>
            </w:r>
          </w:p>
        </w:tc>
      </w:tr>
      <w:tr w:rsidR="005A6727" w:rsidRPr="001E2A27" w14:paraId="028B71DE" w14:textId="77777777" w:rsidTr="001A68D8">
        <w:trPr>
          <w:jc w:val="center"/>
        </w:trPr>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tcPr>
          <w:p w14:paraId="0AF6A7F0" w14:textId="77777777" w:rsidR="005A6727" w:rsidRPr="001E2A27" w:rsidRDefault="005A6727" w:rsidP="00727319">
            <w:pPr>
              <w:spacing w:before="60" w:after="60"/>
              <w:rPr>
                <w:rFonts w:asciiTheme="majorHAnsi" w:hAnsiTheme="majorHAnsi" w:cstheme="majorHAnsi"/>
                <w:color w:val="0D0D0D" w:themeColor="text1" w:themeTint="F2"/>
              </w:rPr>
            </w:pPr>
            <w:r w:rsidRPr="001E2A27">
              <w:rPr>
                <w:rFonts w:asciiTheme="majorHAnsi" w:hAnsiTheme="majorHAnsi" w:cstheme="majorHAnsi"/>
                <w:color w:val="0D0D0D" w:themeColor="text1" w:themeTint="F2"/>
              </w:rPr>
              <w:t>25 to below State Pension Age</w:t>
            </w:r>
          </w:p>
        </w:tc>
        <w:tc>
          <w:tcPr>
            <w:tcW w:w="1265" w:type="dxa"/>
            <w:tcBorders>
              <w:top w:val="nil"/>
              <w:bottom w:val="nil"/>
            </w:tcBorders>
          </w:tcPr>
          <w:p w14:paraId="33955284" w14:textId="77777777" w:rsidR="005A6727" w:rsidRPr="00084BFA" w:rsidRDefault="005A6727" w:rsidP="00727319">
            <w:pPr>
              <w:spacing w:before="60"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themeColor="text1" w:themeTint="F2"/>
              </w:rPr>
            </w:pPr>
            <w:r w:rsidRPr="00084BFA">
              <w:rPr>
                <w:rFonts w:asciiTheme="majorHAnsi" w:hAnsiTheme="majorHAnsi" w:cstheme="majorHAnsi"/>
                <w:color w:val="0D0D0D" w:themeColor="text1" w:themeTint="F2"/>
              </w:rPr>
              <w:t>£73.10</w:t>
            </w:r>
          </w:p>
        </w:tc>
      </w:tr>
      <w:tr w:rsidR="005A6727" w:rsidRPr="001E2A27" w14:paraId="369365FE" w14:textId="77777777" w:rsidTr="001A68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1" w:type="dxa"/>
            <w:tcBorders>
              <w:top w:val="nil"/>
              <w:bottom w:val="single" w:sz="4" w:space="0" w:color="auto"/>
            </w:tcBorders>
          </w:tcPr>
          <w:p w14:paraId="3A9BF1F1" w14:textId="77777777" w:rsidR="005A6727" w:rsidRPr="001E2A27" w:rsidRDefault="005A6727" w:rsidP="00727319">
            <w:pPr>
              <w:spacing w:before="60" w:after="60"/>
              <w:rPr>
                <w:rFonts w:asciiTheme="majorHAnsi" w:hAnsiTheme="majorHAnsi" w:cstheme="majorHAnsi"/>
                <w:color w:val="0D0D0D" w:themeColor="text1" w:themeTint="F2"/>
              </w:rPr>
            </w:pPr>
            <w:r w:rsidRPr="001E2A27">
              <w:rPr>
                <w:rFonts w:asciiTheme="majorHAnsi" w:hAnsiTheme="majorHAnsi" w:cstheme="majorHAnsi"/>
                <w:color w:val="0D0D0D" w:themeColor="text1" w:themeTint="F2"/>
              </w:rPr>
              <w:t>State Pension Age or over</w:t>
            </w:r>
          </w:p>
        </w:tc>
        <w:tc>
          <w:tcPr>
            <w:tcW w:w="1265" w:type="dxa"/>
            <w:tcBorders>
              <w:top w:val="nil"/>
              <w:bottom w:val="single" w:sz="4" w:space="0" w:color="auto"/>
            </w:tcBorders>
          </w:tcPr>
          <w:p w14:paraId="0B9D8F69" w14:textId="77777777" w:rsidR="005A6727" w:rsidRPr="00084BFA" w:rsidRDefault="005A6727" w:rsidP="00727319">
            <w:pPr>
              <w:spacing w:before="60"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D0D0D" w:themeColor="text1" w:themeTint="F2"/>
              </w:rPr>
            </w:pPr>
            <w:r w:rsidRPr="00084BFA">
              <w:rPr>
                <w:rFonts w:asciiTheme="majorHAnsi" w:hAnsiTheme="majorHAnsi" w:cstheme="majorHAnsi"/>
                <w:color w:val="0D0D0D" w:themeColor="text1" w:themeTint="F2"/>
              </w:rPr>
              <w:t>£163.00</w:t>
            </w:r>
          </w:p>
        </w:tc>
      </w:tr>
    </w:tbl>
    <w:p w14:paraId="4FBC999D" w14:textId="64AF6B10" w:rsidR="005A6727" w:rsidRPr="00C74A39" w:rsidRDefault="005A6727" w:rsidP="00727319">
      <w:pPr>
        <w:rPr>
          <w:rFonts w:asciiTheme="majorHAnsi" w:hAnsiTheme="majorHAnsi" w:cstheme="majorHAnsi"/>
        </w:rPr>
      </w:pPr>
    </w:p>
    <w:p w14:paraId="1C17F524" w14:textId="055607E9" w:rsidR="0004506D" w:rsidRPr="00C74A39" w:rsidRDefault="00320D4F" w:rsidP="00727319">
      <w:pPr>
        <w:rPr>
          <w:rFonts w:asciiTheme="majorHAnsi" w:hAnsiTheme="majorHAnsi" w:cstheme="majorHAnsi"/>
          <w:b/>
        </w:rPr>
      </w:pPr>
      <w:r w:rsidRPr="00C74A39">
        <w:rPr>
          <w:rFonts w:asciiTheme="majorHAnsi" w:hAnsiTheme="majorHAnsi" w:cstheme="majorHAnsi"/>
          <w:b/>
        </w:rPr>
        <w:t>How much would the schemes you modelled cost?</w:t>
      </w:r>
    </w:p>
    <w:p w14:paraId="6770E148" w14:textId="75B05CBD" w:rsidR="0097628A" w:rsidRPr="00C74A39" w:rsidRDefault="00003988" w:rsidP="00727319">
      <w:pPr>
        <w:rPr>
          <w:rFonts w:asciiTheme="majorHAnsi" w:hAnsiTheme="majorHAnsi" w:cstheme="majorHAnsi"/>
        </w:rPr>
      </w:pPr>
      <w:r w:rsidRPr="00C74A39">
        <w:rPr>
          <w:rFonts w:asciiTheme="majorHAnsi" w:hAnsiTheme="majorHAnsi" w:cstheme="majorHAnsi"/>
        </w:rPr>
        <w:t xml:space="preserve">The gross cost in 2023/24 of paying </w:t>
      </w:r>
      <w:r w:rsidR="0004506D" w:rsidRPr="00C74A39">
        <w:rPr>
          <w:rFonts w:asciiTheme="majorHAnsi" w:hAnsiTheme="majorHAnsi" w:cstheme="majorHAnsi"/>
        </w:rPr>
        <w:t xml:space="preserve">a </w:t>
      </w:r>
      <w:r w:rsidR="001E2A27" w:rsidRPr="00C74A39">
        <w:rPr>
          <w:rFonts w:asciiTheme="majorHAnsi" w:hAnsiTheme="majorHAnsi" w:cstheme="majorHAnsi"/>
        </w:rPr>
        <w:t>low-level</w:t>
      </w:r>
      <w:r w:rsidR="0004506D" w:rsidRPr="00C74A39">
        <w:rPr>
          <w:rFonts w:asciiTheme="majorHAnsi" w:hAnsiTheme="majorHAnsi" w:cstheme="majorHAnsi"/>
        </w:rPr>
        <w:t xml:space="preserve"> CBI (replicating standard allowance)</w:t>
      </w:r>
      <w:r w:rsidR="0097628A" w:rsidRPr="00C74A39">
        <w:rPr>
          <w:rStyle w:val="EndnoteReference"/>
          <w:rFonts w:asciiTheme="majorHAnsi" w:hAnsiTheme="majorHAnsi" w:cstheme="majorHAnsi"/>
        </w:rPr>
        <w:endnoteReference w:id="1"/>
      </w:r>
      <w:r w:rsidR="0097628A" w:rsidRPr="00C74A39">
        <w:rPr>
          <w:rFonts w:asciiTheme="majorHAnsi" w:hAnsiTheme="majorHAnsi" w:cstheme="majorHAnsi"/>
        </w:rPr>
        <w:t xml:space="preserve"> in Scotland would be just under £27 billion per annum.  Abolishing the standard elements of means-tested benefits, Carers Allowance and Child Benefit would save £4 billion</w:t>
      </w:r>
      <w:r w:rsidR="0097628A" w:rsidRPr="00C74A39">
        <w:rPr>
          <w:rStyle w:val="EndnoteReference"/>
          <w:rFonts w:asciiTheme="majorHAnsi" w:hAnsiTheme="majorHAnsi" w:cstheme="majorHAnsi"/>
        </w:rPr>
        <w:endnoteReference w:id="2"/>
      </w:r>
      <w:r w:rsidR="0097628A" w:rsidRPr="00C74A39">
        <w:rPr>
          <w:rFonts w:asciiTheme="majorHAnsi" w:hAnsiTheme="majorHAnsi" w:cstheme="majorHAnsi"/>
        </w:rPr>
        <w:t xml:space="preserve">.  Reducing the state pension by the amount of each pensioner’s CBI would save just over £6 billion, whilst abolishing the personal allowance for Income Tax would save £9 billion.  </w:t>
      </w:r>
    </w:p>
    <w:p w14:paraId="38AB27A5" w14:textId="06FE5E36" w:rsidR="0097628A" w:rsidRPr="00C74A39" w:rsidRDefault="0097628A" w:rsidP="00727319">
      <w:pPr>
        <w:rPr>
          <w:rFonts w:asciiTheme="majorHAnsi" w:hAnsiTheme="majorHAnsi" w:cstheme="majorHAnsi"/>
        </w:rPr>
      </w:pPr>
      <w:r w:rsidRPr="00C74A39">
        <w:rPr>
          <w:rFonts w:asciiTheme="majorHAnsi" w:hAnsiTheme="majorHAnsi" w:cstheme="majorHAnsi"/>
        </w:rPr>
        <w:t xml:space="preserve">This would leave a </w:t>
      </w:r>
      <w:r w:rsidRPr="00C74A39">
        <w:rPr>
          <w:rFonts w:asciiTheme="majorHAnsi" w:hAnsiTheme="majorHAnsi" w:cstheme="majorHAnsi"/>
          <w:u w:val="single"/>
        </w:rPr>
        <w:t>little over £7 billion to be raised through other tax increases of some kind</w:t>
      </w:r>
      <w:r w:rsidRPr="00C74A39">
        <w:rPr>
          <w:rFonts w:asciiTheme="majorHAnsi" w:hAnsiTheme="majorHAnsi" w:cstheme="majorHAnsi"/>
        </w:rPr>
        <w:t>.</w:t>
      </w:r>
    </w:p>
    <w:p w14:paraId="024262AE" w14:textId="2F71DFC9" w:rsidR="0097628A" w:rsidRPr="00C74A39" w:rsidRDefault="0097628A" w:rsidP="00727319">
      <w:pPr>
        <w:rPr>
          <w:rFonts w:asciiTheme="majorHAnsi" w:hAnsiTheme="majorHAnsi" w:cstheme="majorHAnsi"/>
        </w:rPr>
      </w:pPr>
      <w:r w:rsidRPr="00C74A39">
        <w:rPr>
          <w:rFonts w:asciiTheme="majorHAnsi" w:hAnsiTheme="majorHAnsi" w:cstheme="majorHAnsi"/>
        </w:rPr>
        <w:t xml:space="preserve">If this funding requirement was paid for by increases to Scottish income tax, this would require an increase of 8 percentage points on each tax band, so the starting rate of tax would increase to 27%. It is also important to note that this would be levied on the first pound of income due to the abolition of the personal allowance. </w:t>
      </w:r>
    </w:p>
    <w:p w14:paraId="2B2F5351" w14:textId="20CA158D" w:rsidR="0097628A" w:rsidRPr="00C74A39" w:rsidRDefault="0097628A" w:rsidP="00727319">
      <w:pPr>
        <w:rPr>
          <w:rFonts w:asciiTheme="majorHAnsi" w:hAnsiTheme="majorHAnsi" w:cstheme="majorHAnsi"/>
          <w:b/>
        </w:rPr>
      </w:pPr>
      <w:r w:rsidRPr="00C74A39">
        <w:rPr>
          <w:rFonts w:asciiTheme="majorHAnsi" w:hAnsiTheme="majorHAnsi" w:cstheme="majorHAnsi"/>
          <w:b/>
        </w:rPr>
        <w:t>Table 2: Costs of a low-level and high-level basic income</w:t>
      </w:r>
    </w:p>
    <w:tbl>
      <w:tblPr>
        <w:tblW w:w="7324"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3544"/>
        <w:gridCol w:w="1890"/>
        <w:gridCol w:w="1890"/>
      </w:tblGrid>
      <w:tr w:rsidR="0097628A" w:rsidRPr="001E2A27" w14:paraId="21AF07BB" w14:textId="77777777" w:rsidTr="003A1901">
        <w:trPr>
          <w:trHeight w:val="290"/>
          <w:jc w:val="center"/>
        </w:trPr>
        <w:tc>
          <w:tcPr>
            <w:tcW w:w="3544" w:type="dxa"/>
            <w:shd w:val="clear" w:color="auto" w:fill="auto"/>
            <w:noWrap/>
            <w:vAlign w:val="bottom"/>
            <w:hideMark/>
          </w:tcPr>
          <w:p w14:paraId="6D9529FB" w14:textId="17945035" w:rsidR="0097628A" w:rsidRPr="001E2A27" w:rsidRDefault="0097628A" w:rsidP="00727319">
            <w:pPr>
              <w:spacing w:before="60" w:after="60" w:line="240" w:lineRule="auto"/>
              <w:rPr>
                <w:rFonts w:asciiTheme="majorHAnsi" w:eastAsia="Times New Roman" w:hAnsiTheme="majorHAnsi" w:cstheme="majorHAnsi"/>
                <w:b/>
                <w:bCs/>
                <w:color w:val="0D0D0D" w:themeColor="text1" w:themeTint="F2"/>
                <w:lang w:eastAsia="en-GB"/>
              </w:rPr>
            </w:pPr>
            <w:r w:rsidRPr="001E2A27">
              <w:rPr>
                <w:rFonts w:asciiTheme="majorHAnsi" w:eastAsia="Times New Roman" w:hAnsiTheme="majorHAnsi" w:cstheme="majorHAnsi"/>
                <w:b/>
                <w:bCs/>
                <w:color w:val="0D0D0D" w:themeColor="text1" w:themeTint="F2"/>
                <w:lang w:eastAsia="en-GB"/>
              </w:rPr>
              <w:t>Option</w:t>
            </w:r>
          </w:p>
        </w:tc>
        <w:tc>
          <w:tcPr>
            <w:tcW w:w="1890" w:type="dxa"/>
            <w:shd w:val="clear" w:color="auto" w:fill="auto"/>
            <w:noWrap/>
            <w:vAlign w:val="bottom"/>
            <w:hideMark/>
          </w:tcPr>
          <w:p w14:paraId="0E786A1D" w14:textId="77777777" w:rsidR="0097628A" w:rsidRPr="00084BFA" w:rsidRDefault="0097628A" w:rsidP="00727319">
            <w:pPr>
              <w:spacing w:before="60" w:after="60" w:line="240" w:lineRule="auto"/>
              <w:jc w:val="center"/>
              <w:rPr>
                <w:rFonts w:asciiTheme="majorHAnsi" w:eastAsia="Times New Roman" w:hAnsiTheme="majorHAnsi" w:cstheme="majorHAnsi"/>
                <w:b/>
                <w:bCs/>
                <w:color w:val="0D0D0D" w:themeColor="text1" w:themeTint="F2"/>
                <w:lang w:eastAsia="en-GB"/>
              </w:rPr>
            </w:pPr>
            <w:r w:rsidRPr="00084BFA">
              <w:rPr>
                <w:rFonts w:asciiTheme="majorHAnsi" w:eastAsia="Times New Roman" w:hAnsiTheme="majorHAnsi" w:cstheme="majorHAnsi"/>
                <w:b/>
                <w:bCs/>
                <w:color w:val="0D0D0D" w:themeColor="text1" w:themeTint="F2"/>
                <w:lang w:eastAsia="en-GB"/>
              </w:rPr>
              <w:t>1</w:t>
            </w:r>
          </w:p>
        </w:tc>
        <w:tc>
          <w:tcPr>
            <w:tcW w:w="1890" w:type="dxa"/>
            <w:shd w:val="clear" w:color="auto" w:fill="auto"/>
            <w:noWrap/>
            <w:vAlign w:val="bottom"/>
            <w:hideMark/>
          </w:tcPr>
          <w:p w14:paraId="3C8B8B9D" w14:textId="77777777" w:rsidR="0097628A" w:rsidRPr="00084BFA" w:rsidRDefault="0097628A" w:rsidP="00727319">
            <w:pPr>
              <w:spacing w:before="60" w:after="60" w:line="240" w:lineRule="auto"/>
              <w:jc w:val="center"/>
              <w:rPr>
                <w:rFonts w:asciiTheme="majorHAnsi" w:eastAsia="Times New Roman" w:hAnsiTheme="majorHAnsi" w:cstheme="majorHAnsi"/>
                <w:b/>
                <w:bCs/>
                <w:color w:val="0D0D0D" w:themeColor="text1" w:themeTint="F2"/>
                <w:lang w:eastAsia="en-GB"/>
              </w:rPr>
            </w:pPr>
            <w:r w:rsidRPr="00084BFA">
              <w:rPr>
                <w:rFonts w:asciiTheme="majorHAnsi" w:eastAsia="Times New Roman" w:hAnsiTheme="majorHAnsi" w:cstheme="majorHAnsi"/>
                <w:b/>
                <w:bCs/>
                <w:color w:val="0D0D0D" w:themeColor="text1" w:themeTint="F2"/>
                <w:lang w:eastAsia="en-GB"/>
              </w:rPr>
              <w:t>2</w:t>
            </w:r>
          </w:p>
        </w:tc>
      </w:tr>
      <w:tr w:rsidR="0097628A" w:rsidRPr="001E2A27" w14:paraId="7CC0231C" w14:textId="77777777" w:rsidTr="003A1901">
        <w:trPr>
          <w:trHeight w:val="580"/>
          <w:jc w:val="center"/>
        </w:trPr>
        <w:tc>
          <w:tcPr>
            <w:tcW w:w="3544" w:type="dxa"/>
            <w:shd w:val="clear" w:color="auto" w:fill="auto"/>
            <w:noWrap/>
            <w:vAlign w:val="bottom"/>
            <w:hideMark/>
          </w:tcPr>
          <w:p w14:paraId="52C8532B" w14:textId="77777777" w:rsidR="0097628A" w:rsidRPr="001E2A27" w:rsidRDefault="0097628A" w:rsidP="00727319">
            <w:pPr>
              <w:spacing w:before="60" w:after="60" w:line="240" w:lineRule="auto"/>
              <w:rPr>
                <w:rFonts w:asciiTheme="majorHAnsi" w:eastAsia="Times New Roman" w:hAnsiTheme="majorHAnsi" w:cstheme="majorHAnsi"/>
                <w:b/>
                <w:bCs/>
                <w:color w:val="0D0D0D" w:themeColor="text1" w:themeTint="F2"/>
                <w:lang w:eastAsia="en-GB"/>
              </w:rPr>
            </w:pPr>
            <w:r w:rsidRPr="001E2A27">
              <w:rPr>
                <w:rFonts w:asciiTheme="majorHAnsi" w:eastAsia="Times New Roman" w:hAnsiTheme="majorHAnsi" w:cstheme="majorHAnsi"/>
                <w:b/>
                <w:bCs/>
                <w:color w:val="0D0D0D" w:themeColor="text1" w:themeTint="F2"/>
                <w:lang w:eastAsia="en-GB"/>
              </w:rPr>
              <w:t> </w:t>
            </w:r>
          </w:p>
        </w:tc>
        <w:tc>
          <w:tcPr>
            <w:tcW w:w="1890" w:type="dxa"/>
            <w:shd w:val="clear" w:color="auto" w:fill="auto"/>
            <w:vAlign w:val="bottom"/>
            <w:hideMark/>
          </w:tcPr>
          <w:p w14:paraId="6A2B8856" w14:textId="77777777" w:rsidR="0097628A" w:rsidRPr="00084BFA" w:rsidRDefault="0097628A" w:rsidP="00727319">
            <w:pPr>
              <w:spacing w:before="60" w:after="60" w:line="240" w:lineRule="auto"/>
              <w:jc w:val="center"/>
              <w:rPr>
                <w:rFonts w:asciiTheme="majorHAnsi" w:eastAsia="Times New Roman" w:hAnsiTheme="majorHAnsi" w:cstheme="majorHAnsi"/>
                <w:b/>
                <w:bCs/>
                <w:color w:val="0D0D0D" w:themeColor="text1" w:themeTint="F2"/>
                <w:lang w:eastAsia="en-GB"/>
              </w:rPr>
            </w:pPr>
            <w:r w:rsidRPr="00084BFA">
              <w:rPr>
                <w:rFonts w:asciiTheme="majorHAnsi" w:eastAsia="Times New Roman" w:hAnsiTheme="majorHAnsi" w:cstheme="majorHAnsi"/>
                <w:b/>
                <w:bCs/>
                <w:color w:val="0D0D0D" w:themeColor="text1" w:themeTint="F2"/>
                <w:lang w:eastAsia="en-GB"/>
              </w:rPr>
              <w:t>Low-level CBI</w:t>
            </w:r>
          </w:p>
        </w:tc>
        <w:tc>
          <w:tcPr>
            <w:tcW w:w="1890" w:type="dxa"/>
            <w:shd w:val="clear" w:color="auto" w:fill="auto"/>
            <w:vAlign w:val="bottom"/>
            <w:hideMark/>
          </w:tcPr>
          <w:p w14:paraId="231A44C7" w14:textId="77777777" w:rsidR="0097628A" w:rsidRPr="00084BFA" w:rsidRDefault="0097628A" w:rsidP="00727319">
            <w:pPr>
              <w:spacing w:before="60" w:after="60" w:line="240" w:lineRule="auto"/>
              <w:jc w:val="center"/>
              <w:rPr>
                <w:rFonts w:asciiTheme="majorHAnsi" w:eastAsia="Times New Roman" w:hAnsiTheme="majorHAnsi" w:cstheme="majorHAnsi"/>
                <w:b/>
                <w:bCs/>
                <w:color w:val="0D0D0D" w:themeColor="text1" w:themeTint="F2"/>
                <w:lang w:eastAsia="en-GB"/>
              </w:rPr>
            </w:pPr>
            <w:r w:rsidRPr="00084BFA">
              <w:rPr>
                <w:rFonts w:asciiTheme="majorHAnsi" w:eastAsia="Times New Roman" w:hAnsiTheme="majorHAnsi" w:cstheme="majorHAnsi"/>
                <w:b/>
                <w:bCs/>
                <w:color w:val="0D0D0D" w:themeColor="text1" w:themeTint="F2"/>
                <w:lang w:eastAsia="en-GB"/>
              </w:rPr>
              <w:t>High-level CBI</w:t>
            </w:r>
          </w:p>
        </w:tc>
      </w:tr>
      <w:tr w:rsidR="0097628A" w:rsidRPr="001E2A27" w14:paraId="2C8027B2" w14:textId="77777777" w:rsidTr="003A1901">
        <w:trPr>
          <w:trHeight w:val="290"/>
          <w:jc w:val="center"/>
        </w:trPr>
        <w:tc>
          <w:tcPr>
            <w:tcW w:w="3544" w:type="dxa"/>
            <w:tcBorders>
              <w:bottom w:val="single" w:sz="4" w:space="0" w:color="auto"/>
            </w:tcBorders>
            <w:shd w:val="clear" w:color="auto" w:fill="auto"/>
            <w:noWrap/>
            <w:vAlign w:val="bottom"/>
            <w:hideMark/>
          </w:tcPr>
          <w:p w14:paraId="720FE2C7" w14:textId="77777777" w:rsidR="0097628A" w:rsidRPr="001E2A27" w:rsidRDefault="0097628A" w:rsidP="00727319">
            <w:pPr>
              <w:spacing w:before="60" w:after="60" w:line="240" w:lineRule="auto"/>
              <w:rPr>
                <w:rFonts w:asciiTheme="majorHAnsi" w:eastAsia="Times New Roman" w:hAnsiTheme="majorHAnsi" w:cstheme="majorHAnsi"/>
                <w:b/>
                <w:bCs/>
                <w:color w:val="0D0D0D" w:themeColor="text1" w:themeTint="F2"/>
                <w:lang w:eastAsia="en-GB"/>
              </w:rPr>
            </w:pPr>
            <w:r w:rsidRPr="001E2A27">
              <w:rPr>
                <w:rFonts w:asciiTheme="majorHAnsi" w:eastAsia="Times New Roman" w:hAnsiTheme="majorHAnsi" w:cstheme="majorHAnsi"/>
                <w:b/>
                <w:bCs/>
                <w:color w:val="0D0D0D" w:themeColor="text1" w:themeTint="F2"/>
                <w:lang w:eastAsia="en-GB"/>
              </w:rPr>
              <w:t>Gross cost</w:t>
            </w:r>
          </w:p>
        </w:tc>
        <w:tc>
          <w:tcPr>
            <w:tcW w:w="1890" w:type="dxa"/>
            <w:tcBorders>
              <w:bottom w:val="single" w:sz="4" w:space="0" w:color="auto"/>
            </w:tcBorders>
            <w:shd w:val="clear" w:color="auto" w:fill="auto"/>
            <w:noWrap/>
            <w:vAlign w:val="bottom"/>
            <w:hideMark/>
          </w:tcPr>
          <w:p w14:paraId="667BE500" w14:textId="77777777" w:rsidR="0097628A" w:rsidRPr="00084BFA" w:rsidRDefault="0097628A" w:rsidP="00727319">
            <w:pPr>
              <w:spacing w:before="60" w:after="60" w:line="240" w:lineRule="auto"/>
              <w:jc w:val="center"/>
              <w:rPr>
                <w:rFonts w:asciiTheme="majorHAnsi" w:eastAsia="Times New Roman" w:hAnsiTheme="majorHAnsi" w:cstheme="majorHAnsi"/>
                <w:b/>
                <w:bCs/>
                <w:color w:val="0D0D0D" w:themeColor="text1" w:themeTint="F2"/>
                <w:lang w:eastAsia="en-GB"/>
              </w:rPr>
            </w:pPr>
            <w:r w:rsidRPr="00084BFA">
              <w:rPr>
                <w:rFonts w:asciiTheme="majorHAnsi" w:eastAsia="Times New Roman" w:hAnsiTheme="majorHAnsi" w:cstheme="majorHAnsi"/>
                <w:b/>
                <w:bCs/>
                <w:color w:val="0D0D0D" w:themeColor="text1" w:themeTint="F2"/>
                <w:lang w:eastAsia="en-GB"/>
              </w:rPr>
              <w:t>-£26.7 bn</w:t>
            </w:r>
          </w:p>
        </w:tc>
        <w:tc>
          <w:tcPr>
            <w:tcW w:w="1890" w:type="dxa"/>
            <w:tcBorders>
              <w:bottom w:val="single" w:sz="4" w:space="0" w:color="auto"/>
            </w:tcBorders>
            <w:shd w:val="clear" w:color="auto" w:fill="auto"/>
            <w:noWrap/>
            <w:vAlign w:val="bottom"/>
            <w:hideMark/>
          </w:tcPr>
          <w:p w14:paraId="3A0D22D1" w14:textId="77777777" w:rsidR="0097628A" w:rsidRPr="00084BFA" w:rsidRDefault="0097628A" w:rsidP="00727319">
            <w:pPr>
              <w:spacing w:before="60" w:after="60" w:line="240" w:lineRule="auto"/>
              <w:jc w:val="center"/>
              <w:rPr>
                <w:rFonts w:asciiTheme="majorHAnsi" w:eastAsia="Times New Roman" w:hAnsiTheme="majorHAnsi" w:cstheme="majorHAnsi"/>
                <w:b/>
                <w:bCs/>
                <w:color w:val="0D0D0D" w:themeColor="text1" w:themeTint="F2"/>
                <w:lang w:eastAsia="en-GB"/>
              </w:rPr>
            </w:pPr>
            <w:r w:rsidRPr="00084BFA">
              <w:rPr>
                <w:rFonts w:asciiTheme="majorHAnsi" w:eastAsia="Times New Roman" w:hAnsiTheme="majorHAnsi" w:cstheme="majorHAnsi"/>
                <w:b/>
                <w:bCs/>
                <w:color w:val="0D0D0D" w:themeColor="text1" w:themeTint="F2"/>
                <w:lang w:eastAsia="en-GB"/>
              </w:rPr>
              <w:t>-£57.8 bn</w:t>
            </w:r>
          </w:p>
        </w:tc>
      </w:tr>
      <w:tr w:rsidR="0097628A" w:rsidRPr="001E2A27" w14:paraId="5178512D" w14:textId="77777777" w:rsidTr="003A1901">
        <w:trPr>
          <w:trHeight w:val="290"/>
          <w:jc w:val="center"/>
        </w:trPr>
        <w:tc>
          <w:tcPr>
            <w:tcW w:w="3544" w:type="dxa"/>
            <w:tcBorders>
              <w:bottom w:val="nil"/>
            </w:tcBorders>
            <w:shd w:val="clear" w:color="auto" w:fill="auto"/>
            <w:noWrap/>
            <w:vAlign w:val="bottom"/>
            <w:hideMark/>
          </w:tcPr>
          <w:p w14:paraId="4B7FAAAF" w14:textId="77777777" w:rsidR="0097628A" w:rsidRPr="001E2A27" w:rsidRDefault="0097628A" w:rsidP="00727319">
            <w:pPr>
              <w:spacing w:before="60" w:after="60" w:line="240" w:lineRule="auto"/>
              <w:rPr>
                <w:rFonts w:asciiTheme="majorHAnsi" w:eastAsia="Times New Roman" w:hAnsiTheme="majorHAnsi" w:cstheme="majorHAnsi"/>
                <w:color w:val="0D0D0D" w:themeColor="text1" w:themeTint="F2"/>
                <w:lang w:eastAsia="en-GB"/>
              </w:rPr>
            </w:pPr>
            <w:r w:rsidRPr="001E2A27">
              <w:rPr>
                <w:rFonts w:asciiTheme="majorHAnsi" w:eastAsia="Times New Roman" w:hAnsiTheme="majorHAnsi" w:cstheme="majorHAnsi"/>
                <w:color w:val="0D0D0D" w:themeColor="text1" w:themeTint="F2"/>
                <w:lang w:eastAsia="en-GB"/>
              </w:rPr>
              <w:lastRenderedPageBreak/>
              <w:t>Savings from benefit reductions</w:t>
            </w:r>
          </w:p>
        </w:tc>
        <w:tc>
          <w:tcPr>
            <w:tcW w:w="1890" w:type="dxa"/>
            <w:tcBorders>
              <w:bottom w:val="nil"/>
            </w:tcBorders>
            <w:shd w:val="clear" w:color="auto" w:fill="auto"/>
            <w:noWrap/>
            <w:vAlign w:val="bottom"/>
            <w:hideMark/>
          </w:tcPr>
          <w:p w14:paraId="7BC3DF4D" w14:textId="77777777" w:rsidR="0097628A" w:rsidRPr="00084BFA" w:rsidRDefault="0097628A" w:rsidP="00727319">
            <w:pPr>
              <w:spacing w:before="60" w:after="60" w:line="240" w:lineRule="auto"/>
              <w:jc w:val="center"/>
              <w:rPr>
                <w:rFonts w:asciiTheme="majorHAnsi" w:eastAsia="Times New Roman" w:hAnsiTheme="majorHAnsi" w:cstheme="majorHAnsi"/>
                <w:color w:val="0D0D0D" w:themeColor="text1" w:themeTint="F2"/>
                <w:lang w:eastAsia="en-GB"/>
              </w:rPr>
            </w:pPr>
            <w:r w:rsidRPr="00084BFA">
              <w:rPr>
                <w:rFonts w:asciiTheme="majorHAnsi" w:eastAsia="Times New Roman" w:hAnsiTheme="majorHAnsi" w:cstheme="majorHAnsi"/>
                <w:color w:val="0D0D0D" w:themeColor="text1" w:themeTint="F2"/>
                <w:lang w:eastAsia="en-GB"/>
              </w:rPr>
              <w:t>£4.0 bn</w:t>
            </w:r>
          </w:p>
        </w:tc>
        <w:tc>
          <w:tcPr>
            <w:tcW w:w="1890" w:type="dxa"/>
            <w:tcBorders>
              <w:bottom w:val="nil"/>
            </w:tcBorders>
            <w:shd w:val="clear" w:color="auto" w:fill="auto"/>
            <w:noWrap/>
            <w:vAlign w:val="bottom"/>
            <w:hideMark/>
          </w:tcPr>
          <w:p w14:paraId="245A841C" w14:textId="77777777" w:rsidR="0097628A" w:rsidRPr="00084BFA" w:rsidRDefault="0097628A" w:rsidP="00727319">
            <w:pPr>
              <w:spacing w:before="60" w:after="60" w:line="240" w:lineRule="auto"/>
              <w:jc w:val="center"/>
              <w:rPr>
                <w:rFonts w:asciiTheme="majorHAnsi" w:eastAsia="Times New Roman" w:hAnsiTheme="majorHAnsi" w:cstheme="majorHAnsi"/>
                <w:color w:val="0D0D0D" w:themeColor="text1" w:themeTint="F2"/>
                <w:lang w:eastAsia="en-GB"/>
              </w:rPr>
            </w:pPr>
            <w:r w:rsidRPr="00084BFA">
              <w:rPr>
                <w:rFonts w:asciiTheme="majorHAnsi" w:eastAsia="Times New Roman" w:hAnsiTheme="majorHAnsi" w:cstheme="majorHAnsi"/>
                <w:color w:val="0D0D0D" w:themeColor="text1" w:themeTint="F2"/>
                <w:lang w:eastAsia="en-GB"/>
              </w:rPr>
              <w:t>£4.0 bn</w:t>
            </w:r>
          </w:p>
        </w:tc>
      </w:tr>
      <w:tr w:rsidR="0097628A" w:rsidRPr="001E2A27" w14:paraId="0E2F69B7" w14:textId="77777777" w:rsidTr="003A1901">
        <w:trPr>
          <w:trHeight w:val="290"/>
          <w:jc w:val="center"/>
        </w:trPr>
        <w:tc>
          <w:tcPr>
            <w:tcW w:w="3544" w:type="dxa"/>
            <w:tcBorders>
              <w:top w:val="nil"/>
              <w:bottom w:val="nil"/>
            </w:tcBorders>
            <w:shd w:val="clear" w:color="auto" w:fill="auto"/>
            <w:noWrap/>
            <w:vAlign w:val="bottom"/>
            <w:hideMark/>
          </w:tcPr>
          <w:p w14:paraId="0FCF10BB" w14:textId="77777777" w:rsidR="0097628A" w:rsidRPr="001E2A27" w:rsidRDefault="0097628A" w:rsidP="00727319">
            <w:pPr>
              <w:spacing w:before="60" w:after="60" w:line="240" w:lineRule="auto"/>
              <w:rPr>
                <w:rFonts w:asciiTheme="majorHAnsi" w:eastAsia="Times New Roman" w:hAnsiTheme="majorHAnsi" w:cstheme="majorHAnsi"/>
                <w:color w:val="0D0D0D" w:themeColor="text1" w:themeTint="F2"/>
                <w:lang w:eastAsia="en-GB"/>
              </w:rPr>
            </w:pPr>
            <w:r w:rsidRPr="001E2A27">
              <w:rPr>
                <w:rFonts w:asciiTheme="majorHAnsi" w:eastAsia="Times New Roman" w:hAnsiTheme="majorHAnsi" w:cstheme="majorHAnsi"/>
                <w:color w:val="0D0D0D" w:themeColor="text1" w:themeTint="F2"/>
                <w:lang w:eastAsia="en-GB"/>
              </w:rPr>
              <w:t>Savings from state pension reduction</w:t>
            </w:r>
          </w:p>
        </w:tc>
        <w:tc>
          <w:tcPr>
            <w:tcW w:w="1890" w:type="dxa"/>
            <w:tcBorders>
              <w:top w:val="nil"/>
              <w:bottom w:val="nil"/>
            </w:tcBorders>
            <w:shd w:val="clear" w:color="auto" w:fill="auto"/>
            <w:noWrap/>
            <w:vAlign w:val="bottom"/>
            <w:hideMark/>
          </w:tcPr>
          <w:p w14:paraId="15C18032" w14:textId="77777777" w:rsidR="0097628A" w:rsidRPr="00084BFA" w:rsidRDefault="0097628A" w:rsidP="00727319">
            <w:pPr>
              <w:spacing w:before="60" w:after="60" w:line="240" w:lineRule="auto"/>
              <w:jc w:val="center"/>
              <w:rPr>
                <w:rFonts w:asciiTheme="majorHAnsi" w:eastAsia="Times New Roman" w:hAnsiTheme="majorHAnsi" w:cstheme="majorHAnsi"/>
                <w:color w:val="0D0D0D" w:themeColor="text1" w:themeTint="F2"/>
                <w:lang w:eastAsia="en-GB"/>
              </w:rPr>
            </w:pPr>
            <w:r w:rsidRPr="00084BFA">
              <w:rPr>
                <w:rFonts w:asciiTheme="majorHAnsi" w:eastAsia="Times New Roman" w:hAnsiTheme="majorHAnsi" w:cstheme="majorHAnsi"/>
                <w:color w:val="0D0D0D" w:themeColor="text1" w:themeTint="F2"/>
                <w:lang w:eastAsia="en-GB"/>
              </w:rPr>
              <w:t>£6.3 bn</w:t>
            </w:r>
          </w:p>
        </w:tc>
        <w:tc>
          <w:tcPr>
            <w:tcW w:w="1890" w:type="dxa"/>
            <w:tcBorders>
              <w:top w:val="nil"/>
              <w:bottom w:val="nil"/>
            </w:tcBorders>
            <w:shd w:val="clear" w:color="auto" w:fill="auto"/>
            <w:noWrap/>
            <w:vAlign w:val="bottom"/>
            <w:hideMark/>
          </w:tcPr>
          <w:p w14:paraId="3B5FC2B9" w14:textId="77777777" w:rsidR="0097628A" w:rsidRPr="00084BFA" w:rsidRDefault="0097628A" w:rsidP="00727319">
            <w:pPr>
              <w:spacing w:before="60" w:after="60" w:line="240" w:lineRule="auto"/>
              <w:jc w:val="center"/>
              <w:rPr>
                <w:rFonts w:asciiTheme="majorHAnsi" w:eastAsia="Times New Roman" w:hAnsiTheme="majorHAnsi" w:cstheme="majorHAnsi"/>
                <w:color w:val="0D0D0D" w:themeColor="text1" w:themeTint="F2"/>
                <w:lang w:eastAsia="en-GB"/>
              </w:rPr>
            </w:pPr>
            <w:r w:rsidRPr="00084BFA">
              <w:rPr>
                <w:rFonts w:asciiTheme="majorHAnsi" w:eastAsia="Times New Roman" w:hAnsiTheme="majorHAnsi" w:cstheme="majorHAnsi"/>
                <w:color w:val="0D0D0D" w:themeColor="text1" w:themeTint="F2"/>
                <w:lang w:eastAsia="en-GB"/>
              </w:rPr>
              <w:t>£6.6bn</w:t>
            </w:r>
          </w:p>
        </w:tc>
      </w:tr>
      <w:tr w:rsidR="0097628A" w:rsidRPr="001E2A27" w14:paraId="30915E67" w14:textId="77777777" w:rsidTr="003A1901">
        <w:trPr>
          <w:trHeight w:val="290"/>
          <w:jc w:val="center"/>
        </w:trPr>
        <w:tc>
          <w:tcPr>
            <w:tcW w:w="3544" w:type="dxa"/>
            <w:tcBorders>
              <w:top w:val="nil"/>
              <w:bottom w:val="nil"/>
            </w:tcBorders>
            <w:shd w:val="clear" w:color="auto" w:fill="auto"/>
            <w:noWrap/>
            <w:vAlign w:val="bottom"/>
            <w:hideMark/>
          </w:tcPr>
          <w:p w14:paraId="4BF74209" w14:textId="77777777" w:rsidR="0097628A" w:rsidRPr="001E2A27" w:rsidRDefault="0097628A" w:rsidP="00727319">
            <w:pPr>
              <w:spacing w:before="60" w:after="60" w:line="240" w:lineRule="auto"/>
              <w:rPr>
                <w:rFonts w:asciiTheme="majorHAnsi" w:eastAsia="Times New Roman" w:hAnsiTheme="majorHAnsi" w:cstheme="majorHAnsi"/>
                <w:color w:val="0D0D0D" w:themeColor="text1" w:themeTint="F2"/>
                <w:lang w:eastAsia="en-GB"/>
              </w:rPr>
            </w:pPr>
            <w:r w:rsidRPr="001E2A27">
              <w:rPr>
                <w:rFonts w:asciiTheme="majorHAnsi" w:eastAsia="Times New Roman" w:hAnsiTheme="majorHAnsi" w:cstheme="majorHAnsi"/>
                <w:color w:val="0D0D0D" w:themeColor="text1" w:themeTint="F2"/>
                <w:lang w:eastAsia="en-GB"/>
              </w:rPr>
              <w:t>Savings from PA abolition</w:t>
            </w:r>
          </w:p>
        </w:tc>
        <w:tc>
          <w:tcPr>
            <w:tcW w:w="1890" w:type="dxa"/>
            <w:tcBorders>
              <w:top w:val="nil"/>
              <w:bottom w:val="nil"/>
            </w:tcBorders>
            <w:shd w:val="clear" w:color="auto" w:fill="auto"/>
            <w:noWrap/>
            <w:vAlign w:val="bottom"/>
            <w:hideMark/>
          </w:tcPr>
          <w:p w14:paraId="67AD21B8" w14:textId="77777777" w:rsidR="0097628A" w:rsidRPr="00084BFA" w:rsidRDefault="0097628A" w:rsidP="00727319">
            <w:pPr>
              <w:spacing w:before="60" w:after="60" w:line="240" w:lineRule="auto"/>
              <w:jc w:val="center"/>
              <w:rPr>
                <w:rFonts w:asciiTheme="majorHAnsi" w:eastAsia="Times New Roman" w:hAnsiTheme="majorHAnsi" w:cstheme="majorHAnsi"/>
                <w:color w:val="0D0D0D" w:themeColor="text1" w:themeTint="F2"/>
                <w:lang w:eastAsia="en-GB"/>
              </w:rPr>
            </w:pPr>
            <w:r w:rsidRPr="00084BFA">
              <w:rPr>
                <w:rFonts w:asciiTheme="majorHAnsi" w:eastAsia="Times New Roman" w:hAnsiTheme="majorHAnsi" w:cstheme="majorHAnsi"/>
                <w:color w:val="0D0D0D" w:themeColor="text1" w:themeTint="F2"/>
                <w:lang w:eastAsia="en-GB"/>
              </w:rPr>
              <w:t>£9.1 bn</w:t>
            </w:r>
          </w:p>
        </w:tc>
        <w:tc>
          <w:tcPr>
            <w:tcW w:w="1890" w:type="dxa"/>
            <w:tcBorders>
              <w:top w:val="nil"/>
              <w:bottom w:val="nil"/>
            </w:tcBorders>
            <w:shd w:val="clear" w:color="auto" w:fill="auto"/>
            <w:noWrap/>
            <w:vAlign w:val="bottom"/>
            <w:hideMark/>
          </w:tcPr>
          <w:p w14:paraId="77F37080" w14:textId="77777777" w:rsidR="0097628A" w:rsidRPr="00084BFA" w:rsidRDefault="0097628A" w:rsidP="00727319">
            <w:pPr>
              <w:spacing w:before="60" w:after="60" w:line="240" w:lineRule="auto"/>
              <w:jc w:val="center"/>
              <w:rPr>
                <w:rFonts w:asciiTheme="majorHAnsi" w:eastAsia="Times New Roman" w:hAnsiTheme="majorHAnsi" w:cstheme="majorHAnsi"/>
                <w:color w:val="0D0D0D" w:themeColor="text1" w:themeTint="F2"/>
                <w:lang w:eastAsia="en-GB"/>
              </w:rPr>
            </w:pPr>
            <w:r w:rsidRPr="00084BFA">
              <w:rPr>
                <w:rFonts w:asciiTheme="majorHAnsi" w:eastAsia="Times New Roman" w:hAnsiTheme="majorHAnsi" w:cstheme="majorHAnsi"/>
                <w:color w:val="0D0D0D" w:themeColor="text1" w:themeTint="F2"/>
                <w:lang w:eastAsia="en-GB"/>
              </w:rPr>
              <w:t>£9.0 bn</w:t>
            </w:r>
          </w:p>
        </w:tc>
      </w:tr>
      <w:tr w:rsidR="0097628A" w:rsidRPr="001E2A27" w14:paraId="23FD94AC" w14:textId="77777777" w:rsidTr="003A1901">
        <w:trPr>
          <w:trHeight w:val="290"/>
          <w:jc w:val="center"/>
        </w:trPr>
        <w:tc>
          <w:tcPr>
            <w:tcW w:w="3544" w:type="dxa"/>
            <w:tcBorders>
              <w:top w:val="nil"/>
            </w:tcBorders>
            <w:shd w:val="clear" w:color="auto" w:fill="auto"/>
            <w:noWrap/>
            <w:vAlign w:val="bottom"/>
            <w:hideMark/>
          </w:tcPr>
          <w:p w14:paraId="53DF6657" w14:textId="77777777" w:rsidR="0097628A" w:rsidRPr="001E2A27" w:rsidRDefault="0097628A" w:rsidP="00727319">
            <w:pPr>
              <w:spacing w:before="60" w:after="60" w:line="240" w:lineRule="auto"/>
              <w:rPr>
                <w:rFonts w:asciiTheme="majorHAnsi" w:eastAsia="Times New Roman" w:hAnsiTheme="majorHAnsi" w:cstheme="majorHAnsi"/>
                <w:color w:val="0D0D0D" w:themeColor="text1" w:themeTint="F2"/>
                <w:lang w:eastAsia="en-GB"/>
              </w:rPr>
            </w:pPr>
            <w:r w:rsidRPr="001E2A27">
              <w:rPr>
                <w:rFonts w:asciiTheme="majorHAnsi" w:eastAsia="Times New Roman" w:hAnsiTheme="majorHAnsi" w:cstheme="majorHAnsi"/>
                <w:color w:val="0D0D0D" w:themeColor="text1" w:themeTint="F2"/>
                <w:lang w:eastAsia="en-GB"/>
              </w:rPr>
              <w:t>Savings from tax rate rises</w:t>
            </w:r>
          </w:p>
        </w:tc>
        <w:tc>
          <w:tcPr>
            <w:tcW w:w="1890" w:type="dxa"/>
            <w:tcBorders>
              <w:top w:val="nil"/>
            </w:tcBorders>
            <w:shd w:val="clear" w:color="auto" w:fill="auto"/>
            <w:noWrap/>
            <w:vAlign w:val="bottom"/>
            <w:hideMark/>
          </w:tcPr>
          <w:p w14:paraId="3C65F80A" w14:textId="77777777" w:rsidR="0097628A" w:rsidRPr="00084BFA" w:rsidRDefault="0097628A" w:rsidP="00727319">
            <w:pPr>
              <w:spacing w:before="60" w:after="60" w:line="240" w:lineRule="auto"/>
              <w:jc w:val="center"/>
              <w:rPr>
                <w:rFonts w:asciiTheme="majorHAnsi" w:eastAsia="Times New Roman" w:hAnsiTheme="majorHAnsi" w:cstheme="majorHAnsi"/>
                <w:color w:val="0D0D0D" w:themeColor="text1" w:themeTint="F2"/>
                <w:lang w:eastAsia="en-GB"/>
              </w:rPr>
            </w:pPr>
            <w:r w:rsidRPr="00084BFA">
              <w:rPr>
                <w:rFonts w:asciiTheme="majorHAnsi" w:eastAsia="Times New Roman" w:hAnsiTheme="majorHAnsi" w:cstheme="majorHAnsi"/>
                <w:color w:val="0D0D0D" w:themeColor="text1" w:themeTint="F2"/>
                <w:lang w:eastAsia="en-GB"/>
              </w:rPr>
              <w:t>£7.2 bn</w:t>
            </w:r>
          </w:p>
        </w:tc>
        <w:tc>
          <w:tcPr>
            <w:tcW w:w="1890" w:type="dxa"/>
            <w:tcBorders>
              <w:top w:val="nil"/>
            </w:tcBorders>
            <w:shd w:val="clear" w:color="auto" w:fill="auto"/>
            <w:noWrap/>
            <w:vAlign w:val="bottom"/>
            <w:hideMark/>
          </w:tcPr>
          <w:p w14:paraId="2EE968B5" w14:textId="77777777" w:rsidR="0097628A" w:rsidRPr="00084BFA" w:rsidRDefault="0097628A" w:rsidP="00727319">
            <w:pPr>
              <w:spacing w:before="60" w:after="60" w:line="240" w:lineRule="auto"/>
              <w:jc w:val="center"/>
              <w:rPr>
                <w:rFonts w:asciiTheme="majorHAnsi" w:eastAsia="Times New Roman" w:hAnsiTheme="majorHAnsi" w:cstheme="majorHAnsi"/>
                <w:color w:val="0D0D0D" w:themeColor="text1" w:themeTint="F2"/>
                <w:lang w:eastAsia="en-GB"/>
              </w:rPr>
            </w:pPr>
            <w:r w:rsidRPr="00084BFA">
              <w:rPr>
                <w:rFonts w:asciiTheme="majorHAnsi" w:eastAsia="Times New Roman" w:hAnsiTheme="majorHAnsi" w:cstheme="majorHAnsi"/>
                <w:color w:val="0D0D0D" w:themeColor="text1" w:themeTint="F2"/>
                <w:lang w:eastAsia="en-GB"/>
              </w:rPr>
              <w:t>£38.3 bn</w:t>
            </w:r>
          </w:p>
        </w:tc>
      </w:tr>
      <w:tr w:rsidR="0097628A" w:rsidRPr="001E2A27" w14:paraId="0C70CB55" w14:textId="77777777" w:rsidTr="003A1901">
        <w:trPr>
          <w:trHeight w:val="290"/>
          <w:jc w:val="center"/>
        </w:trPr>
        <w:tc>
          <w:tcPr>
            <w:tcW w:w="3544" w:type="dxa"/>
            <w:tcBorders>
              <w:bottom w:val="single" w:sz="4" w:space="0" w:color="auto"/>
            </w:tcBorders>
            <w:shd w:val="clear" w:color="auto" w:fill="auto"/>
            <w:noWrap/>
            <w:vAlign w:val="bottom"/>
            <w:hideMark/>
          </w:tcPr>
          <w:p w14:paraId="523D533D" w14:textId="77777777" w:rsidR="0097628A" w:rsidRPr="001E2A27" w:rsidRDefault="0097628A" w:rsidP="00727319">
            <w:pPr>
              <w:spacing w:before="60" w:after="60" w:line="240" w:lineRule="auto"/>
              <w:rPr>
                <w:rFonts w:asciiTheme="majorHAnsi" w:eastAsia="Times New Roman" w:hAnsiTheme="majorHAnsi" w:cstheme="majorHAnsi"/>
                <w:b/>
                <w:bCs/>
                <w:color w:val="0D0D0D" w:themeColor="text1" w:themeTint="F2"/>
                <w:lang w:eastAsia="en-GB"/>
              </w:rPr>
            </w:pPr>
            <w:r w:rsidRPr="001E2A27">
              <w:rPr>
                <w:rFonts w:asciiTheme="majorHAnsi" w:eastAsia="Times New Roman" w:hAnsiTheme="majorHAnsi" w:cstheme="majorHAnsi"/>
                <w:b/>
                <w:bCs/>
                <w:color w:val="0D0D0D" w:themeColor="text1" w:themeTint="F2"/>
                <w:lang w:eastAsia="en-GB"/>
              </w:rPr>
              <w:t>Net cost</w:t>
            </w:r>
          </w:p>
        </w:tc>
        <w:tc>
          <w:tcPr>
            <w:tcW w:w="1890" w:type="dxa"/>
            <w:tcBorders>
              <w:bottom w:val="single" w:sz="4" w:space="0" w:color="auto"/>
            </w:tcBorders>
            <w:shd w:val="clear" w:color="auto" w:fill="auto"/>
            <w:noWrap/>
            <w:vAlign w:val="bottom"/>
            <w:hideMark/>
          </w:tcPr>
          <w:p w14:paraId="15AF3350" w14:textId="77777777" w:rsidR="0097628A" w:rsidRPr="00084BFA" w:rsidRDefault="0097628A" w:rsidP="00727319">
            <w:pPr>
              <w:spacing w:before="60" w:after="60" w:line="240" w:lineRule="auto"/>
              <w:jc w:val="center"/>
              <w:rPr>
                <w:rFonts w:asciiTheme="majorHAnsi" w:eastAsia="Times New Roman" w:hAnsiTheme="majorHAnsi" w:cstheme="majorHAnsi"/>
                <w:b/>
                <w:bCs/>
                <w:color w:val="000000" w:themeColor="text1"/>
                <w:lang w:eastAsia="en-GB"/>
              </w:rPr>
            </w:pPr>
            <w:r w:rsidRPr="00084BFA">
              <w:rPr>
                <w:rFonts w:asciiTheme="majorHAnsi" w:eastAsia="Times New Roman" w:hAnsiTheme="majorHAnsi" w:cstheme="majorHAnsi"/>
                <w:b/>
                <w:bCs/>
                <w:color w:val="0D0D0D" w:themeColor="text1" w:themeTint="F2"/>
                <w:lang w:eastAsia="en-GB"/>
              </w:rPr>
              <w:t>-£0.2 bn</w:t>
            </w:r>
          </w:p>
        </w:tc>
        <w:tc>
          <w:tcPr>
            <w:tcW w:w="1890" w:type="dxa"/>
            <w:tcBorders>
              <w:bottom w:val="single" w:sz="4" w:space="0" w:color="auto"/>
            </w:tcBorders>
            <w:shd w:val="clear" w:color="auto" w:fill="auto"/>
            <w:noWrap/>
            <w:vAlign w:val="bottom"/>
            <w:hideMark/>
          </w:tcPr>
          <w:p w14:paraId="7D5049F8" w14:textId="77777777" w:rsidR="0097628A" w:rsidRPr="00084BFA" w:rsidRDefault="0097628A" w:rsidP="00727319">
            <w:pPr>
              <w:spacing w:before="60" w:after="60" w:line="240" w:lineRule="auto"/>
              <w:jc w:val="center"/>
              <w:rPr>
                <w:rFonts w:asciiTheme="majorHAnsi" w:eastAsia="Times New Roman" w:hAnsiTheme="majorHAnsi" w:cstheme="majorHAnsi"/>
                <w:b/>
                <w:bCs/>
                <w:color w:val="000000" w:themeColor="text1"/>
                <w:lang w:eastAsia="en-GB"/>
              </w:rPr>
            </w:pPr>
            <w:r w:rsidRPr="00084BFA">
              <w:rPr>
                <w:rFonts w:asciiTheme="majorHAnsi" w:eastAsia="Times New Roman" w:hAnsiTheme="majorHAnsi" w:cstheme="majorHAnsi"/>
                <w:b/>
                <w:bCs/>
                <w:color w:val="0D0D0D" w:themeColor="text1" w:themeTint="F2"/>
                <w:lang w:eastAsia="en-GB"/>
              </w:rPr>
              <w:t>£0.1 bn</w:t>
            </w:r>
          </w:p>
        </w:tc>
      </w:tr>
      <w:tr w:rsidR="0097628A" w:rsidRPr="001E2A27" w14:paraId="62B87CCF" w14:textId="77777777" w:rsidTr="003A1901">
        <w:trPr>
          <w:trHeight w:val="870"/>
          <w:jc w:val="center"/>
        </w:trPr>
        <w:tc>
          <w:tcPr>
            <w:tcW w:w="3544" w:type="dxa"/>
            <w:tcBorders>
              <w:bottom w:val="nil"/>
            </w:tcBorders>
            <w:shd w:val="clear" w:color="auto" w:fill="auto"/>
            <w:noWrap/>
            <w:vAlign w:val="center"/>
            <w:hideMark/>
          </w:tcPr>
          <w:p w14:paraId="5E35332D" w14:textId="77777777" w:rsidR="0097628A" w:rsidRPr="00084BFA" w:rsidRDefault="0097628A" w:rsidP="00727319">
            <w:pPr>
              <w:spacing w:before="60" w:after="60" w:line="240" w:lineRule="auto"/>
              <w:rPr>
                <w:rFonts w:asciiTheme="majorHAnsi" w:eastAsia="Times New Roman" w:hAnsiTheme="majorHAnsi" w:cstheme="majorHAnsi"/>
                <w:color w:val="0D0D0D" w:themeColor="text1" w:themeTint="F2"/>
                <w:lang w:eastAsia="en-GB"/>
              </w:rPr>
            </w:pPr>
            <w:r w:rsidRPr="001E2A27">
              <w:rPr>
                <w:rFonts w:asciiTheme="majorHAnsi" w:eastAsia="Times New Roman" w:hAnsiTheme="majorHAnsi" w:cstheme="majorHAnsi"/>
                <w:color w:val="0D0D0D" w:themeColor="text1" w:themeTint="F2"/>
                <w:lang w:eastAsia="en-GB"/>
              </w:rPr>
              <w:t>Income tax rate rises needed to achieve fiscal neutrality</w:t>
            </w:r>
          </w:p>
        </w:tc>
        <w:tc>
          <w:tcPr>
            <w:tcW w:w="1890" w:type="dxa"/>
            <w:tcBorders>
              <w:bottom w:val="nil"/>
            </w:tcBorders>
            <w:shd w:val="clear" w:color="auto" w:fill="auto"/>
            <w:vAlign w:val="center"/>
            <w:hideMark/>
          </w:tcPr>
          <w:p w14:paraId="39F92123" w14:textId="77777777" w:rsidR="0097628A" w:rsidRPr="00C74A39" w:rsidRDefault="0097628A" w:rsidP="00727319">
            <w:pPr>
              <w:spacing w:before="60" w:after="60" w:line="240" w:lineRule="auto"/>
              <w:jc w:val="center"/>
              <w:rPr>
                <w:rFonts w:asciiTheme="majorHAnsi" w:eastAsia="Times New Roman" w:hAnsiTheme="majorHAnsi" w:cstheme="majorHAnsi"/>
                <w:color w:val="0D0D0D" w:themeColor="text1" w:themeTint="F2"/>
                <w:lang w:eastAsia="en-GB"/>
              </w:rPr>
            </w:pPr>
            <w:r w:rsidRPr="00084BFA">
              <w:rPr>
                <w:rFonts w:asciiTheme="majorHAnsi" w:eastAsia="Times New Roman" w:hAnsiTheme="majorHAnsi" w:cstheme="majorHAnsi"/>
                <w:color w:val="0D0D0D" w:themeColor="text1" w:themeTint="F2"/>
                <w:lang w:eastAsia="en-GB"/>
              </w:rPr>
              <w:t>+8 points on every band</w:t>
            </w:r>
          </w:p>
        </w:tc>
        <w:tc>
          <w:tcPr>
            <w:tcW w:w="1890" w:type="dxa"/>
            <w:tcBorders>
              <w:bottom w:val="nil"/>
            </w:tcBorders>
            <w:shd w:val="clear" w:color="auto" w:fill="auto"/>
            <w:vAlign w:val="center"/>
            <w:hideMark/>
          </w:tcPr>
          <w:p w14:paraId="257902C0" w14:textId="77777777" w:rsidR="0097628A" w:rsidRPr="00084BFA" w:rsidRDefault="0097628A" w:rsidP="00727319">
            <w:pPr>
              <w:spacing w:before="60" w:after="60" w:line="240" w:lineRule="auto"/>
              <w:jc w:val="center"/>
              <w:rPr>
                <w:rFonts w:asciiTheme="majorHAnsi" w:eastAsia="Times New Roman" w:hAnsiTheme="majorHAnsi" w:cstheme="majorHAnsi"/>
                <w:color w:val="0D0D0D" w:themeColor="text1" w:themeTint="F2"/>
                <w:lang w:eastAsia="en-GB"/>
              </w:rPr>
            </w:pPr>
            <w:r w:rsidRPr="00C74A39">
              <w:rPr>
                <w:rFonts w:asciiTheme="majorHAnsi" w:eastAsia="Times New Roman" w:hAnsiTheme="majorHAnsi" w:cstheme="majorHAnsi"/>
                <w:color w:val="0D0D0D" w:themeColor="text1" w:themeTint="F2"/>
                <w:lang w:eastAsia="en-GB"/>
              </w:rPr>
              <w:t>+49 pts on band 3</w:t>
            </w:r>
            <w:r w:rsidRPr="001E2A27">
              <w:rPr>
                <w:rFonts w:asciiTheme="majorHAnsi" w:eastAsia="Times New Roman" w:hAnsiTheme="majorHAnsi" w:cstheme="majorHAnsi"/>
                <w:color w:val="0D0D0D" w:themeColor="text1" w:themeTint="F2"/>
                <w:lang w:eastAsia="en-GB"/>
              </w:rPr>
              <w:br/>
            </w:r>
            <w:r w:rsidRPr="00084BFA">
              <w:rPr>
                <w:rFonts w:asciiTheme="majorHAnsi" w:eastAsia="Times New Roman" w:hAnsiTheme="majorHAnsi" w:cstheme="majorHAnsi"/>
                <w:color w:val="0D0D0D" w:themeColor="text1" w:themeTint="F2"/>
                <w:lang w:eastAsia="en-GB"/>
              </w:rPr>
              <w:t>+44 pts on band 4</w:t>
            </w:r>
            <w:r w:rsidRPr="001E2A27">
              <w:rPr>
                <w:rFonts w:asciiTheme="majorHAnsi" w:eastAsia="Times New Roman" w:hAnsiTheme="majorHAnsi" w:cstheme="majorHAnsi"/>
                <w:color w:val="0D0D0D" w:themeColor="text1" w:themeTint="F2"/>
                <w:lang w:eastAsia="en-GB"/>
              </w:rPr>
              <w:br/>
            </w:r>
            <w:r w:rsidRPr="00084BFA">
              <w:rPr>
                <w:rFonts w:asciiTheme="majorHAnsi" w:eastAsia="Times New Roman" w:hAnsiTheme="majorHAnsi" w:cstheme="majorHAnsi"/>
                <w:color w:val="0D0D0D" w:themeColor="text1" w:themeTint="F2"/>
                <w:lang w:eastAsia="en-GB"/>
              </w:rPr>
              <w:t>+39 pts on 1,2,5</w:t>
            </w:r>
          </w:p>
        </w:tc>
      </w:tr>
      <w:tr w:rsidR="0097628A" w:rsidRPr="001E2A27" w14:paraId="3727385B" w14:textId="77777777" w:rsidTr="003A1901">
        <w:trPr>
          <w:trHeight w:val="290"/>
          <w:jc w:val="center"/>
        </w:trPr>
        <w:tc>
          <w:tcPr>
            <w:tcW w:w="3544" w:type="dxa"/>
            <w:tcBorders>
              <w:top w:val="nil"/>
            </w:tcBorders>
            <w:shd w:val="clear" w:color="auto" w:fill="auto"/>
            <w:noWrap/>
            <w:vAlign w:val="center"/>
            <w:hideMark/>
          </w:tcPr>
          <w:p w14:paraId="5A98F47A" w14:textId="77777777" w:rsidR="0097628A" w:rsidRPr="001E2A27" w:rsidRDefault="0097628A" w:rsidP="00727319">
            <w:pPr>
              <w:spacing w:before="60" w:after="60" w:line="240" w:lineRule="auto"/>
              <w:rPr>
                <w:rFonts w:asciiTheme="majorHAnsi" w:eastAsia="Times New Roman" w:hAnsiTheme="majorHAnsi" w:cstheme="majorHAnsi"/>
                <w:color w:val="0D0D0D" w:themeColor="text1" w:themeTint="F2"/>
                <w:lang w:eastAsia="en-GB"/>
              </w:rPr>
            </w:pPr>
            <w:r w:rsidRPr="001E2A27">
              <w:rPr>
                <w:rFonts w:asciiTheme="majorHAnsi" w:eastAsia="Times New Roman" w:hAnsiTheme="majorHAnsi" w:cstheme="majorHAnsi"/>
                <w:color w:val="0D0D0D" w:themeColor="text1" w:themeTint="F2"/>
                <w:lang w:eastAsia="en-GB"/>
              </w:rPr>
              <w:t>New Scottish income tax schedule</w:t>
            </w:r>
            <w:r w:rsidRPr="001E2A27">
              <w:rPr>
                <w:rStyle w:val="EndnoteReference"/>
                <w:rFonts w:asciiTheme="majorHAnsi" w:eastAsia="Times New Roman" w:hAnsiTheme="majorHAnsi" w:cstheme="majorHAnsi"/>
                <w:color w:val="0D0D0D" w:themeColor="text1" w:themeTint="F2"/>
                <w:lang w:eastAsia="en-GB"/>
              </w:rPr>
              <w:endnoteReference w:id="3"/>
            </w:r>
          </w:p>
        </w:tc>
        <w:tc>
          <w:tcPr>
            <w:tcW w:w="1890" w:type="dxa"/>
            <w:tcBorders>
              <w:top w:val="nil"/>
            </w:tcBorders>
            <w:shd w:val="clear" w:color="auto" w:fill="auto"/>
            <w:vAlign w:val="center"/>
            <w:hideMark/>
          </w:tcPr>
          <w:p w14:paraId="38E7E003" w14:textId="77777777" w:rsidR="0097628A" w:rsidRPr="00084BFA" w:rsidRDefault="0097628A" w:rsidP="00727319">
            <w:pPr>
              <w:spacing w:before="60" w:after="60" w:line="240" w:lineRule="auto"/>
              <w:jc w:val="center"/>
              <w:rPr>
                <w:rFonts w:asciiTheme="majorHAnsi" w:eastAsia="Times New Roman" w:hAnsiTheme="majorHAnsi" w:cstheme="majorHAnsi"/>
                <w:color w:val="0D0D0D" w:themeColor="text1" w:themeTint="F2"/>
                <w:lang w:eastAsia="en-GB"/>
              </w:rPr>
            </w:pPr>
            <w:proofErr w:type="gramStart"/>
            <w:r w:rsidRPr="00084BFA">
              <w:rPr>
                <w:rFonts w:asciiTheme="majorHAnsi" w:eastAsia="Times New Roman" w:hAnsiTheme="majorHAnsi" w:cstheme="majorHAnsi"/>
                <w:color w:val="0D0D0D" w:themeColor="text1" w:themeTint="F2"/>
                <w:lang w:eastAsia="en-GB"/>
              </w:rPr>
              <w:t>27:28:29:49:54</w:t>
            </w:r>
            <w:proofErr w:type="gramEnd"/>
          </w:p>
        </w:tc>
        <w:tc>
          <w:tcPr>
            <w:tcW w:w="1890" w:type="dxa"/>
            <w:tcBorders>
              <w:top w:val="nil"/>
            </w:tcBorders>
            <w:shd w:val="clear" w:color="auto" w:fill="auto"/>
            <w:vAlign w:val="center"/>
            <w:hideMark/>
          </w:tcPr>
          <w:p w14:paraId="328997F3" w14:textId="77777777" w:rsidR="0097628A" w:rsidRPr="00084BFA" w:rsidRDefault="0097628A" w:rsidP="00727319">
            <w:pPr>
              <w:spacing w:before="60" w:after="60" w:line="240" w:lineRule="auto"/>
              <w:jc w:val="center"/>
              <w:rPr>
                <w:rFonts w:asciiTheme="majorHAnsi" w:eastAsia="Times New Roman" w:hAnsiTheme="majorHAnsi" w:cstheme="majorHAnsi"/>
                <w:color w:val="0D0D0D" w:themeColor="text1" w:themeTint="F2"/>
                <w:lang w:eastAsia="en-GB"/>
              </w:rPr>
            </w:pPr>
            <w:proofErr w:type="gramStart"/>
            <w:r w:rsidRPr="00084BFA">
              <w:rPr>
                <w:rFonts w:asciiTheme="majorHAnsi" w:eastAsia="Times New Roman" w:hAnsiTheme="majorHAnsi" w:cstheme="majorHAnsi"/>
                <w:color w:val="0D0D0D" w:themeColor="text1" w:themeTint="F2"/>
                <w:lang w:eastAsia="en-GB"/>
              </w:rPr>
              <w:t>58:59:70:85:85</w:t>
            </w:r>
            <w:proofErr w:type="gramEnd"/>
          </w:p>
        </w:tc>
      </w:tr>
    </w:tbl>
    <w:p w14:paraId="6DC65AC5" w14:textId="77777777" w:rsidR="0097628A" w:rsidRPr="00C74A39" w:rsidRDefault="0097628A" w:rsidP="00727319">
      <w:pPr>
        <w:rPr>
          <w:rFonts w:asciiTheme="majorHAnsi" w:hAnsiTheme="majorHAnsi" w:cstheme="majorHAnsi"/>
        </w:rPr>
      </w:pPr>
    </w:p>
    <w:p w14:paraId="2B294426" w14:textId="1212363D" w:rsidR="0097628A" w:rsidRPr="00C74A39" w:rsidRDefault="0097628A" w:rsidP="00727319">
      <w:pPr>
        <w:rPr>
          <w:rFonts w:asciiTheme="majorHAnsi" w:hAnsiTheme="majorHAnsi" w:cstheme="majorHAnsi"/>
          <w:b/>
        </w:rPr>
      </w:pPr>
      <w:r w:rsidRPr="00C74A39">
        <w:rPr>
          <w:rFonts w:asciiTheme="majorHAnsi" w:hAnsiTheme="majorHAnsi" w:cstheme="majorHAnsi"/>
          <w:b/>
        </w:rPr>
        <w:t>Why did you assume that Income Tax would be used to pay for it?</w:t>
      </w:r>
    </w:p>
    <w:p w14:paraId="6EDEFA6F" w14:textId="5A12E5CC" w:rsidR="0097628A" w:rsidRPr="00C74A39" w:rsidRDefault="0097628A" w:rsidP="00727319">
      <w:pPr>
        <w:rPr>
          <w:rFonts w:asciiTheme="majorHAnsi" w:hAnsiTheme="majorHAnsi" w:cstheme="majorHAnsi"/>
        </w:rPr>
      </w:pPr>
      <w:r w:rsidRPr="00C74A39">
        <w:rPr>
          <w:rFonts w:asciiTheme="majorHAnsi" w:hAnsiTheme="majorHAnsi" w:cstheme="majorHAnsi"/>
        </w:rPr>
        <w:t>Other tax combinations are possible. However, income tax is the principal devolved tax of sufficient scale at the current time– for example, it currently raises around £13 billion compared to around £2½ billion from council tax. It is also progressive, in contrast to other taxes such as VAT</w:t>
      </w:r>
      <w:r w:rsidRPr="00C74A39">
        <w:rPr>
          <w:rStyle w:val="EndnoteReference"/>
          <w:rFonts w:asciiTheme="majorHAnsi" w:hAnsiTheme="majorHAnsi" w:cstheme="majorHAnsi"/>
        </w:rPr>
        <w:endnoteReference w:id="4"/>
      </w:r>
      <w:r w:rsidRPr="00C74A39">
        <w:rPr>
          <w:rFonts w:asciiTheme="majorHAnsi" w:hAnsiTheme="majorHAnsi" w:cstheme="majorHAnsi"/>
        </w:rPr>
        <w:t xml:space="preserve">. </w:t>
      </w:r>
    </w:p>
    <w:p w14:paraId="4F98E5B7" w14:textId="6964D898" w:rsidR="0097628A" w:rsidRPr="00C74A39" w:rsidRDefault="0097628A" w:rsidP="00727319">
      <w:pPr>
        <w:rPr>
          <w:rFonts w:asciiTheme="majorHAnsi" w:hAnsiTheme="majorHAnsi" w:cstheme="majorHAnsi"/>
        </w:rPr>
      </w:pPr>
      <w:r w:rsidRPr="00C74A39">
        <w:rPr>
          <w:rFonts w:asciiTheme="majorHAnsi" w:hAnsiTheme="majorHAnsi" w:cstheme="majorHAnsi"/>
        </w:rPr>
        <w:t xml:space="preserve">All taxes, levied at the level required, would have implications for </w:t>
      </w:r>
      <w:r>
        <w:rPr>
          <w:rFonts w:asciiTheme="majorHAnsi" w:hAnsiTheme="majorHAnsi" w:cstheme="majorHAnsi"/>
        </w:rPr>
        <w:t>household budgets</w:t>
      </w:r>
      <w:r w:rsidRPr="00C74A39">
        <w:rPr>
          <w:rFonts w:asciiTheme="majorHAnsi" w:hAnsiTheme="majorHAnsi" w:cstheme="majorHAnsi"/>
        </w:rPr>
        <w:t xml:space="preserve"> and hence behaviour. As a result, whilst specific changes may vary, the overall size of the economy would be affected through similar channels to those that we have modelled with income tax. </w:t>
      </w:r>
    </w:p>
    <w:p w14:paraId="37B18B54" w14:textId="48ED2856" w:rsidR="0097628A" w:rsidRPr="00C74A39" w:rsidRDefault="0097628A" w:rsidP="00727319">
      <w:pPr>
        <w:rPr>
          <w:rFonts w:asciiTheme="majorHAnsi" w:hAnsiTheme="majorHAnsi" w:cstheme="majorHAnsi"/>
        </w:rPr>
      </w:pPr>
      <w:r w:rsidRPr="00C74A39">
        <w:rPr>
          <w:rFonts w:asciiTheme="majorHAnsi" w:hAnsiTheme="majorHAnsi" w:cstheme="majorHAnsi"/>
        </w:rPr>
        <w:t xml:space="preserve">The central issue is that funding of £7.2 billion (for the low-level CBI) has to be financed. In principle, this could happen through some combination of raising taxes or cutting other expenditure. However, the fundamental trade-offs apparent in our analysis – between the benefits of a CBI and the costs associated with its financing - would not be eliminated by other means of financing the shortfall. </w:t>
      </w:r>
    </w:p>
    <w:p w14:paraId="7B89DDA9" w14:textId="51831959" w:rsidR="0097628A" w:rsidRPr="00052316" w:rsidRDefault="0097628A" w:rsidP="00727319">
      <w:pPr>
        <w:rPr>
          <w:rFonts w:asciiTheme="majorHAnsi" w:hAnsiTheme="majorHAnsi" w:cstheme="majorHAnsi"/>
          <w:b/>
        </w:rPr>
      </w:pPr>
      <w:r w:rsidRPr="00052316">
        <w:rPr>
          <w:rFonts w:asciiTheme="majorHAnsi" w:hAnsiTheme="majorHAnsi" w:cstheme="majorHAnsi"/>
          <w:b/>
        </w:rPr>
        <w:t>What was the impact on poverty of the low</w:t>
      </w:r>
      <w:r>
        <w:rPr>
          <w:rFonts w:asciiTheme="majorHAnsi" w:hAnsiTheme="majorHAnsi" w:cstheme="majorHAnsi"/>
          <w:b/>
        </w:rPr>
        <w:t>-</w:t>
      </w:r>
      <w:r w:rsidRPr="00052316">
        <w:rPr>
          <w:rFonts w:asciiTheme="majorHAnsi" w:hAnsiTheme="majorHAnsi" w:cstheme="majorHAnsi"/>
          <w:b/>
        </w:rPr>
        <w:t>level CBI?</w:t>
      </w:r>
    </w:p>
    <w:p w14:paraId="72EA62FA" w14:textId="5CD63215" w:rsidR="0097628A" w:rsidRDefault="0097628A" w:rsidP="00727319">
      <w:pPr>
        <w:rPr>
          <w:rFonts w:asciiTheme="majorHAnsi" w:hAnsiTheme="majorHAnsi" w:cstheme="majorHAnsi"/>
        </w:rPr>
      </w:pPr>
      <w:r w:rsidRPr="00052316">
        <w:rPr>
          <w:rFonts w:asciiTheme="majorHAnsi" w:hAnsiTheme="majorHAnsi" w:cstheme="majorHAnsi"/>
        </w:rPr>
        <w:t>With the low</w:t>
      </w:r>
      <w:r>
        <w:rPr>
          <w:rFonts w:asciiTheme="majorHAnsi" w:hAnsiTheme="majorHAnsi" w:cstheme="majorHAnsi"/>
        </w:rPr>
        <w:t>-</w:t>
      </w:r>
      <w:r w:rsidRPr="00052316">
        <w:rPr>
          <w:rFonts w:asciiTheme="majorHAnsi" w:hAnsiTheme="majorHAnsi" w:cstheme="majorHAnsi"/>
        </w:rPr>
        <w:t xml:space="preserve">level CBI, we modelled that </w:t>
      </w:r>
      <w:r>
        <w:rPr>
          <w:rFonts w:asciiTheme="majorHAnsi" w:hAnsiTheme="majorHAnsi" w:cstheme="majorHAnsi"/>
        </w:rPr>
        <w:t>t</w:t>
      </w:r>
      <w:r w:rsidRPr="00052316">
        <w:rPr>
          <w:rFonts w:asciiTheme="majorHAnsi" w:hAnsiTheme="majorHAnsi" w:cstheme="majorHAnsi"/>
        </w:rPr>
        <w:t xml:space="preserve">his would reduce the number of people in poverty by 280,000 (5.4 percentage points) and the number of children in poverty by 90,000 (9 percentage points). </w:t>
      </w:r>
    </w:p>
    <w:p w14:paraId="5CFD9E75" w14:textId="287A7776" w:rsidR="0097628A" w:rsidRDefault="0097628A" w:rsidP="00727319">
      <w:pPr>
        <w:rPr>
          <w:rFonts w:asciiTheme="majorHAnsi" w:hAnsiTheme="majorHAnsi" w:cstheme="majorHAnsi"/>
        </w:rPr>
      </w:pPr>
      <w:r>
        <w:rPr>
          <w:rFonts w:asciiTheme="majorHAnsi" w:hAnsiTheme="majorHAnsi" w:cstheme="majorHAnsi"/>
        </w:rPr>
        <w:t xml:space="preserve">The cost per person lifted out of poverty for the low-level CBI were £139,000 per person, and for children £293,000 per child. </w:t>
      </w:r>
    </w:p>
    <w:p w14:paraId="7309915B" w14:textId="2E5878AB" w:rsidR="0097628A" w:rsidRPr="00052316" w:rsidRDefault="0097628A" w:rsidP="00727319">
      <w:pPr>
        <w:rPr>
          <w:rFonts w:asciiTheme="majorHAnsi" w:hAnsiTheme="majorHAnsi" w:cstheme="majorHAnsi"/>
          <w:b/>
        </w:rPr>
      </w:pPr>
      <w:r w:rsidRPr="00052316">
        <w:rPr>
          <w:rFonts w:asciiTheme="majorHAnsi" w:hAnsiTheme="majorHAnsi" w:cstheme="majorHAnsi"/>
        </w:rPr>
        <w:t xml:space="preserve">The reductions </w:t>
      </w:r>
      <w:r>
        <w:rPr>
          <w:rFonts w:asciiTheme="majorHAnsi" w:hAnsiTheme="majorHAnsi" w:cstheme="majorHAnsi"/>
        </w:rPr>
        <w:t xml:space="preserve">in poverty </w:t>
      </w:r>
      <w:r w:rsidRPr="00052316">
        <w:rPr>
          <w:rFonts w:asciiTheme="majorHAnsi" w:hAnsiTheme="majorHAnsi" w:cstheme="majorHAnsi"/>
        </w:rPr>
        <w:t>for the more generous high</w:t>
      </w:r>
      <w:r>
        <w:rPr>
          <w:rFonts w:asciiTheme="majorHAnsi" w:hAnsiTheme="majorHAnsi" w:cstheme="majorHAnsi"/>
        </w:rPr>
        <w:t>er-</w:t>
      </w:r>
      <w:r w:rsidRPr="00052316">
        <w:rPr>
          <w:rFonts w:asciiTheme="majorHAnsi" w:hAnsiTheme="majorHAnsi" w:cstheme="majorHAnsi"/>
        </w:rPr>
        <w:t>level CBI were larger</w:t>
      </w:r>
      <w:r>
        <w:rPr>
          <w:rFonts w:asciiTheme="majorHAnsi" w:hAnsiTheme="majorHAnsi" w:cstheme="majorHAnsi"/>
        </w:rPr>
        <w:t>. F</w:t>
      </w:r>
      <w:r w:rsidRPr="00052316">
        <w:rPr>
          <w:rFonts w:asciiTheme="majorHAnsi" w:hAnsiTheme="majorHAnsi" w:cstheme="majorHAnsi"/>
        </w:rPr>
        <w:t xml:space="preserve">ull results are in the report. </w:t>
      </w:r>
    </w:p>
    <w:p w14:paraId="511A3EBA" w14:textId="77777777" w:rsidR="0097628A" w:rsidRPr="00052316" w:rsidRDefault="0097628A" w:rsidP="00727319">
      <w:pPr>
        <w:rPr>
          <w:rFonts w:asciiTheme="majorHAnsi" w:hAnsiTheme="majorHAnsi" w:cstheme="majorHAnsi"/>
          <w:b/>
        </w:rPr>
      </w:pPr>
      <w:r w:rsidRPr="00052316">
        <w:rPr>
          <w:rFonts w:asciiTheme="majorHAnsi" w:hAnsiTheme="majorHAnsi" w:cstheme="majorHAnsi"/>
          <w:b/>
        </w:rPr>
        <w:t>Did you look at any alternative policies?</w:t>
      </w:r>
    </w:p>
    <w:p w14:paraId="76E54A59" w14:textId="77777777" w:rsidR="0097628A" w:rsidRPr="00052316" w:rsidRDefault="0097628A" w:rsidP="00727319">
      <w:pPr>
        <w:rPr>
          <w:rFonts w:asciiTheme="majorHAnsi" w:hAnsiTheme="majorHAnsi" w:cstheme="majorHAnsi"/>
        </w:rPr>
      </w:pPr>
      <w:r w:rsidRPr="00052316">
        <w:rPr>
          <w:rFonts w:asciiTheme="majorHAnsi" w:hAnsiTheme="majorHAnsi" w:cstheme="majorHAnsi"/>
        </w:rPr>
        <w:t>We were also asked to model a comparison policy aimed at reducing child poverty.  Our chosen policy increased the main child element of Universal Credit by £40 per week</w:t>
      </w:r>
      <w:r w:rsidRPr="00052316">
        <w:rPr>
          <w:rStyle w:val="EndnoteReference"/>
          <w:rFonts w:asciiTheme="majorHAnsi" w:hAnsiTheme="majorHAnsi" w:cstheme="majorHAnsi"/>
        </w:rPr>
        <w:endnoteReference w:id="5"/>
      </w:r>
      <w:r w:rsidRPr="00052316">
        <w:rPr>
          <w:rFonts w:asciiTheme="majorHAnsi" w:hAnsiTheme="majorHAnsi" w:cstheme="majorHAnsi"/>
        </w:rPr>
        <w:t xml:space="preserve"> and abolished the benefit cap and the two-child limit for Universal Credit.</w:t>
      </w:r>
    </w:p>
    <w:p w14:paraId="55621DEF" w14:textId="4130BC53" w:rsidR="0097628A" w:rsidRDefault="0097628A" w:rsidP="00727319">
      <w:pPr>
        <w:rPr>
          <w:rFonts w:asciiTheme="majorHAnsi" w:hAnsiTheme="majorHAnsi" w:cstheme="majorHAnsi"/>
        </w:rPr>
      </w:pPr>
      <w:r w:rsidRPr="00052316">
        <w:rPr>
          <w:rFonts w:asciiTheme="majorHAnsi" w:hAnsiTheme="majorHAnsi" w:cstheme="majorHAnsi"/>
        </w:rPr>
        <w:t>This policy would cost £1 billion per annum in 2023/24 and would require an increase of 6 percentage points on only the top two income tax bands.</w:t>
      </w:r>
      <w:r>
        <w:rPr>
          <w:rFonts w:asciiTheme="majorHAnsi" w:hAnsiTheme="majorHAnsi" w:cstheme="majorHAnsi"/>
        </w:rPr>
        <w:t xml:space="preserve"> It would reduce overall poverty by 170,000 and child poverty by 100,000 (more than the lower level CBI).</w:t>
      </w:r>
    </w:p>
    <w:p w14:paraId="7433394F" w14:textId="369AD36C" w:rsidR="0097628A" w:rsidRPr="00052316" w:rsidRDefault="0097628A" w:rsidP="00727319">
      <w:pPr>
        <w:rPr>
          <w:rFonts w:asciiTheme="majorHAnsi" w:hAnsiTheme="majorHAnsi" w:cstheme="majorHAnsi"/>
        </w:rPr>
      </w:pPr>
      <w:r>
        <w:rPr>
          <w:rFonts w:asciiTheme="majorHAnsi" w:hAnsiTheme="majorHAnsi" w:cstheme="majorHAnsi"/>
        </w:rPr>
        <w:t xml:space="preserve">The cost per person lifted out of poverty would be £15,000 and per child the cost would be £10,000 (compared to £293,000 per child for the lower level CBI). </w:t>
      </w:r>
    </w:p>
    <w:p w14:paraId="5E656917" w14:textId="2DA32AC9" w:rsidR="0097628A" w:rsidRPr="00C74A39" w:rsidRDefault="0097628A" w:rsidP="00727319">
      <w:pPr>
        <w:rPr>
          <w:rFonts w:asciiTheme="majorHAnsi" w:hAnsiTheme="majorHAnsi" w:cstheme="majorHAnsi"/>
          <w:b/>
        </w:rPr>
      </w:pPr>
      <w:r w:rsidRPr="00C74A39">
        <w:rPr>
          <w:rFonts w:asciiTheme="majorHAnsi" w:hAnsiTheme="majorHAnsi" w:cstheme="majorHAnsi"/>
          <w:b/>
        </w:rPr>
        <w:lastRenderedPageBreak/>
        <w:t xml:space="preserve">Who would be impacted by CBI? </w:t>
      </w:r>
    </w:p>
    <w:p w14:paraId="5830FC54" w14:textId="547F483E" w:rsidR="0097628A" w:rsidRPr="00C74A39" w:rsidRDefault="0097628A" w:rsidP="00727319">
      <w:pPr>
        <w:rPr>
          <w:rFonts w:asciiTheme="majorHAnsi" w:hAnsiTheme="majorHAnsi" w:cstheme="majorHAnsi"/>
        </w:rPr>
      </w:pPr>
      <w:r w:rsidRPr="00C74A39">
        <w:rPr>
          <w:rFonts w:asciiTheme="majorHAnsi" w:hAnsiTheme="majorHAnsi" w:cstheme="majorHAnsi"/>
        </w:rPr>
        <w:t xml:space="preserve">In general, people on lower incomes gain from a basic income and those on higher incomes lose due to higher tax rates.  </w:t>
      </w:r>
    </w:p>
    <w:p w14:paraId="6A4CF7A2" w14:textId="436A3F66" w:rsidR="0097628A" w:rsidRPr="00C74A39" w:rsidRDefault="0097628A" w:rsidP="00727319">
      <w:pPr>
        <w:rPr>
          <w:rFonts w:asciiTheme="majorHAnsi" w:hAnsiTheme="majorHAnsi" w:cstheme="majorHAnsi"/>
        </w:rPr>
      </w:pPr>
      <w:r>
        <w:rPr>
          <w:rFonts w:asciiTheme="majorHAnsi" w:hAnsiTheme="majorHAnsi" w:cstheme="majorHAnsi"/>
        </w:rPr>
        <w:t>However, i</w:t>
      </w:r>
      <w:r w:rsidRPr="00C74A39">
        <w:rPr>
          <w:rFonts w:asciiTheme="majorHAnsi" w:hAnsiTheme="majorHAnsi" w:cstheme="majorHAnsi"/>
        </w:rPr>
        <w:t>t is important to note that this pattern is not uniform.  For example, higher-earning couples with only one earner and three children would gain five citizen’s incomes and lose only one income tax personal allowance and no Universal Credit so might actually be net gainers from the policy.  Similarly, a low-earning couple with two earners and one child on Universal Credit might lose out due to losing their Universal Credit in return for the CBI but paying more tax.</w:t>
      </w:r>
    </w:p>
    <w:p w14:paraId="25C4E8E1" w14:textId="77777777" w:rsidR="0097628A" w:rsidRPr="00C74A39" w:rsidRDefault="0097628A" w:rsidP="00727319">
      <w:pPr>
        <w:rPr>
          <w:rFonts w:asciiTheme="majorHAnsi" w:hAnsiTheme="majorHAnsi" w:cstheme="majorHAnsi"/>
        </w:rPr>
      </w:pPr>
      <w:r w:rsidRPr="00C74A39">
        <w:rPr>
          <w:rFonts w:asciiTheme="majorHAnsi" w:hAnsiTheme="majorHAnsi" w:cstheme="majorHAnsi"/>
        </w:rPr>
        <w:t xml:space="preserve">It is also notable that almost nobody is unaffected by the introduction of the CBI: everyone gains or </w:t>
      </w:r>
      <w:proofErr w:type="spellStart"/>
      <w:r w:rsidRPr="00C74A39">
        <w:rPr>
          <w:rFonts w:asciiTheme="majorHAnsi" w:hAnsiTheme="majorHAnsi" w:cstheme="majorHAnsi"/>
        </w:rPr>
        <w:t>loses</w:t>
      </w:r>
      <w:proofErr w:type="spellEnd"/>
      <w:r w:rsidRPr="00C74A39">
        <w:rPr>
          <w:rFonts w:asciiTheme="majorHAnsi" w:hAnsiTheme="majorHAnsi" w:cstheme="majorHAnsi"/>
        </w:rPr>
        <w:t>, some by significant amounts.  1.7 million people will see their family income rise by £2,500 a year and nearly one million will see a loss of that amount.  In contrast, nearly two-thirds of people would see no change in family income under the Universal Credit child elements policy.</w:t>
      </w:r>
    </w:p>
    <w:p w14:paraId="0E26D037" w14:textId="77777777" w:rsidR="0097628A" w:rsidRPr="00C74A39" w:rsidRDefault="0097628A" w:rsidP="00727319">
      <w:pPr>
        <w:rPr>
          <w:rFonts w:asciiTheme="majorHAnsi" w:hAnsiTheme="majorHAnsi" w:cstheme="majorHAnsi"/>
          <w:b/>
        </w:rPr>
      </w:pPr>
      <w:r w:rsidRPr="00C74A39">
        <w:rPr>
          <w:rFonts w:asciiTheme="majorHAnsi" w:hAnsiTheme="majorHAnsi" w:cstheme="majorHAnsi"/>
          <w:b/>
        </w:rPr>
        <w:t>Figure 1: Change in annual family income</w:t>
      </w:r>
    </w:p>
    <w:p w14:paraId="020E849B" w14:textId="77777777" w:rsidR="0097628A" w:rsidRPr="00C74A39" w:rsidRDefault="0097628A" w:rsidP="00727319">
      <w:pPr>
        <w:rPr>
          <w:rFonts w:asciiTheme="majorHAnsi" w:hAnsiTheme="majorHAnsi" w:cstheme="majorHAnsi"/>
        </w:rPr>
      </w:pPr>
      <w:r w:rsidRPr="00C74A39">
        <w:rPr>
          <w:rFonts w:asciiTheme="majorHAnsi" w:hAnsiTheme="majorHAnsi" w:cstheme="majorHAnsi"/>
          <w:noProof/>
          <w:lang w:eastAsia="en-GB"/>
        </w:rPr>
        <w:drawing>
          <wp:inline distT="0" distB="0" distL="0" distR="0" wp14:anchorId="0201F1C0" wp14:editId="1FA3F226">
            <wp:extent cx="5422973" cy="3558363"/>
            <wp:effectExtent l="0" t="0" r="635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37881" cy="3568145"/>
                    </a:xfrm>
                    <a:prstGeom prst="rect">
                      <a:avLst/>
                    </a:prstGeom>
                    <a:noFill/>
                  </pic:spPr>
                </pic:pic>
              </a:graphicData>
            </a:graphic>
          </wp:inline>
        </w:drawing>
      </w:r>
    </w:p>
    <w:p w14:paraId="5DC13592" w14:textId="77777777" w:rsidR="0097628A" w:rsidRPr="00C74A39" w:rsidRDefault="0097628A" w:rsidP="00727319">
      <w:pPr>
        <w:rPr>
          <w:rFonts w:asciiTheme="majorHAnsi" w:hAnsiTheme="majorHAnsi" w:cstheme="majorHAnsi"/>
          <w:b/>
        </w:rPr>
      </w:pPr>
    </w:p>
    <w:p w14:paraId="02123221" w14:textId="26DE655F" w:rsidR="0097628A" w:rsidRPr="00C74A39" w:rsidRDefault="0097628A" w:rsidP="00727319">
      <w:pPr>
        <w:rPr>
          <w:rFonts w:asciiTheme="majorHAnsi" w:hAnsiTheme="majorHAnsi" w:cstheme="majorHAnsi"/>
          <w:b/>
        </w:rPr>
      </w:pPr>
      <w:r w:rsidRPr="00C74A39">
        <w:rPr>
          <w:rFonts w:asciiTheme="majorHAnsi" w:hAnsiTheme="majorHAnsi" w:cstheme="majorHAnsi"/>
          <w:b/>
        </w:rPr>
        <w:t>What are the possible longer-term macroeconomic effects of a basic income?</w:t>
      </w:r>
    </w:p>
    <w:p w14:paraId="4CDFE065" w14:textId="70711FA5" w:rsidR="0097628A" w:rsidRPr="00C74A39" w:rsidRDefault="0097628A" w:rsidP="00727319">
      <w:pPr>
        <w:rPr>
          <w:rFonts w:asciiTheme="majorHAnsi" w:hAnsiTheme="majorHAnsi" w:cstheme="majorHAnsi"/>
        </w:rPr>
      </w:pPr>
      <w:r w:rsidRPr="00C74A39">
        <w:rPr>
          <w:rFonts w:asciiTheme="majorHAnsi" w:hAnsiTheme="majorHAnsi" w:cstheme="majorHAnsi"/>
        </w:rPr>
        <w:t xml:space="preserve">Because of the transformational nature of the change that a CBI involves, there is no precedent in terms of how society would respond. Existing studies have tended to be limited to local pilots (rather than at a national scale) or focus upon one aspect of a CBI, e.g. the introduction of a universal benefit but they do not test how people respond to the taxation required to fund the policy. Of course, how people respond to the funding mechanism is equally as important as their response to the CBI itself. </w:t>
      </w:r>
    </w:p>
    <w:p w14:paraId="758F44B4" w14:textId="24C6583C" w:rsidR="0097628A" w:rsidRPr="00C74A39" w:rsidRDefault="0097628A" w:rsidP="00727319">
      <w:pPr>
        <w:rPr>
          <w:rFonts w:asciiTheme="majorHAnsi" w:hAnsiTheme="majorHAnsi" w:cstheme="majorHAnsi"/>
        </w:rPr>
      </w:pPr>
      <w:r w:rsidRPr="00C74A39">
        <w:rPr>
          <w:rFonts w:asciiTheme="majorHAnsi" w:hAnsiTheme="majorHAnsi" w:cstheme="majorHAnsi"/>
        </w:rPr>
        <w:t xml:space="preserve">We therefore explored a number of scenarios. </w:t>
      </w:r>
    </w:p>
    <w:p w14:paraId="1CF9F2BD" w14:textId="5C95052F" w:rsidR="0097628A" w:rsidRPr="00C74A39" w:rsidRDefault="0097628A" w:rsidP="00727319">
      <w:pPr>
        <w:pStyle w:val="ListParagraph"/>
        <w:numPr>
          <w:ilvl w:val="0"/>
          <w:numId w:val="3"/>
        </w:numPr>
        <w:rPr>
          <w:rFonts w:asciiTheme="majorHAnsi" w:hAnsiTheme="majorHAnsi" w:cstheme="majorHAnsi"/>
        </w:rPr>
      </w:pPr>
      <w:r w:rsidRPr="00C74A39">
        <w:rPr>
          <w:rFonts w:asciiTheme="majorHAnsi" w:hAnsiTheme="majorHAnsi" w:cstheme="majorHAnsi"/>
        </w:rPr>
        <w:lastRenderedPageBreak/>
        <w:t xml:space="preserve">If people who saw their income fall were happy to see this loss of take-home earnings transferred into paying the basic income for others in society, then the macroeconomic impact could be limited. </w:t>
      </w:r>
    </w:p>
    <w:p w14:paraId="6FDF15E6" w14:textId="77777777" w:rsidR="0097628A" w:rsidRPr="00C74A39" w:rsidRDefault="0097628A" w:rsidP="00727319">
      <w:pPr>
        <w:pStyle w:val="ListParagraph"/>
        <w:rPr>
          <w:rFonts w:asciiTheme="majorHAnsi" w:hAnsiTheme="majorHAnsi" w:cstheme="majorHAnsi"/>
        </w:rPr>
      </w:pPr>
    </w:p>
    <w:p w14:paraId="5045D528" w14:textId="22959D4B" w:rsidR="001C63F7" w:rsidRPr="00C74A39" w:rsidRDefault="0097628A" w:rsidP="00727319">
      <w:pPr>
        <w:pStyle w:val="ListParagraph"/>
        <w:numPr>
          <w:ilvl w:val="0"/>
          <w:numId w:val="3"/>
        </w:numPr>
        <w:rPr>
          <w:rFonts w:asciiTheme="majorHAnsi" w:hAnsiTheme="majorHAnsi" w:cstheme="majorHAnsi"/>
        </w:rPr>
      </w:pPr>
      <w:r w:rsidRPr="00C74A39">
        <w:rPr>
          <w:rFonts w:asciiTheme="majorHAnsi" w:hAnsiTheme="majorHAnsi" w:cstheme="majorHAnsi"/>
        </w:rPr>
        <w:t>If people attempted to recoup some or all of the</w:t>
      </w:r>
      <w:r>
        <w:rPr>
          <w:rFonts w:asciiTheme="majorHAnsi" w:hAnsiTheme="majorHAnsi" w:cstheme="majorHAnsi"/>
        </w:rPr>
        <w:t>ir</w:t>
      </w:r>
      <w:r w:rsidRPr="00C74A39">
        <w:rPr>
          <w:rFonts w:asciiTheme="majorHAnsi" w:hAnsiTheme="majorHAnsi" w:cstheme="majorHAnsi"/>
        </w:rPr>
        <w:t xml:space="preserve"> earnings ‘lost’ in tax</w:t>
      </w:r>
      <w:r w:rsidRPr="00C74A39">
        <w:rPr>
          <w:rStyle w:val="EndnoteReference"/>
          <w:rFonts w:asciiTheme="majorHAnsi" w:hAnsiTheme="majorHAnsi" w:cstheme="majorHAnsi"/>
        </w:rPr>
        <w:endnoteReference w:id="6"/>
      </w:r>
      <w:r w:rsidRPr="00C74A39">
        <w:rPr>
          <w:rFonts w:asciiTheme="majorHAnsi" w:hAnsiTheme="majorHAnsi" w:cstheme="majorHAnsi"/>
        </w:rPr>
        <w:t>,</w:t>
      </w:r>
      <w:r w:rsidR="001C63F7" w:rsidRPr="00C74A39">
        <w:rPr>
          <w:rFonts w:asciiTheme="majorHAnsi" w:hAnsiTheme="majorHAnsi" w:cstheme="majorHAnsi"/>
        </w:rPr>
        <w:t xml:space="preserve"> for example,</w:t>
      </w:r>
      <w:r w:rsidR="002838AF" w:rsidRPr="00C74A39">
        <w:rPr>
          <w:rFonts w:asciiTheme="majorHAnsi" w:hAnsiTheme="majorHAnsi" w:cstheme="majorHAnsi"/>
        </w:rPr>
        <w:t xml:space="preserve"> by </w:t>
      </w:r>
      <w:r w:rsidR="00C949C0" w:rsidRPr="00C74A39">
        <w:rPr>
          <w:rFonts w:asciiTheme="majorHAnsi" w:hAnsiTheme="majorHAnsi" w:cstheme="majorHAnsi"/>
        </w:rPr>
        <w:t>moving out</w:t>
      </w:r>
      <w:r w:rsidR="00735729" w:rsidRPr="00C74A39">
        <w:rPr>
          <w:rFonts w:asciiTheme="majorHAnsi" w:hAnsiTheme="majorHAnsi" w:cstheme="majorHAnsi"/>
        </w:rPr>
        <w:t>-</w:t>
      </w:r>
      <w:r w:rsidR="00C949C0" w:rsidRPr="00C74A39">
        <w:rPr>
          <w:rFonts w:asciiTheme="majorHAnsi" w:hAnsiTheme="majorHAnsi" w:cstheme="majorHAnsi"/>
        </w:rPr>
        <w:t xml:space="preserve">with Scotland or </w:t>
      </w:r>
      <w:r w:rsidR="002838AF" w:rsidRPr="00C74A39">
        <w:rPr>
          <w:rFonts w:asciiTheme="majorHAnsi" w:hAnsiTheme="majorHAnsi" w:cstheme="majorHAnsi"/>
        </w:rPr>
        <w:t>trying to bid up their wages to compensate</w:t>
      </w:r>
      <w:r w:rsidR="001C63F7" w:rsidRPr="00C74A39">
        <w:rPr>
          <w:rFonts w:asciiTheme="majorHAnsi" w:hAnsiTheme="majorHAnsi" w:cstheme="majorHAnsi"/>
        </w:rPr>
        <w:t xml:space="preserve"> </w:t>
      </w:r>
      <w:r w:rsidR="001E2A27">
        <w:rPr>
          <w:rFonts w:asciiTheme="majorHAnsi" w:hAnsiTheme="majorHAnsi" w:cstheme="majorHAnsi"/>
        </w:rPr>
        <w:t xml:space="preserve">or cutting back on their hours worked, </w:t>
      </w:r>
      <w:r w:rsidR="002838AF" w:rsidRPr="00C74A39">
        <w:rPr>
          <w:rFonts w:asciiTheme="majorHAnsi" w:hAnsiTheme="majorHAnsi" w:cstheme="majorHAnsi"/>
        </w:rPr>
        <w:t>there would be</w:t>
      </w:r>
      <w:r w:rsidR="00C949C0" w:rsidRPr="00C74A39">
        <w:rPr>
          <w:rFonts w:asciiTheme="majorHAnsi" w:hAnsiTheme="majorHAnsi" w:cstheme="majorHAnsi"/>
        </w:rPr>
        <w:t xml:space="preserve"> </w:t>
      </w:r>
      <w:r w:rsidR="00EC188E" w:rsidRPr="00C74A39">
        <w:rPr>
          <w:rFonts w:asciiTheme="majorHAnsi" w:hAnsiTheme="majorHAnsi" w:cstheme="majorHAnsi"/>
        </w:rPr>
        <w:t>negative macroeconomic impact</w:t>
      </w:r>
      <w:r w:rsidR="00C7695D" w:rsidRPr="00C74A39">
        <w:rPr>
          <w:rFonts w:asciiTheme="majorHAnsi" w:hAnsiTheme="majorHAnsi" w:cstheme="majorHAnsi"/>
        </w:rPr>
        <w:t>s</w:t>
      </w:r>
      <w:r w:rsidR="00EC188E" w:rsidRPr="00C74A39">
        <w:rPr>
          <w:rFonts w:asciiTheme="majorHAnsi" w:hAnsiTheme="majorHAnsi" w:cstheme="majorHAnsi"/>
        </w:rPr>
        <w:t xml:space="preserve">. </w:t>
      </w:r>
      <w:r w:rsidR="002838AF" w:rsidRPr="00C74A39">
        <w:rPr>
          <w:rFonts w:asciiTheme="majorHAnsi" w:hAnsiTheme="majorHAnsi" w:cstheme="majorHAnsi"/>
        </w:rPr>
        <w:t xml:space="preserve">This impact may be large in some scenarios. </w:t>
      </w:r>
    </w:p>
    <w:p w14:paraId="27F187A5" w14:textId="60C00675" w:rsidR="002838AF" w:rsidRPr="00C74A39" w:rsidRDefault="001C63F7" w:rsidP="00727319">
      <w:pPr>
        <w:rPr>
          <w:rFonts w:asciiTheme="majorHAnsi" w:hAnsiTheme="majorHAnsi" w:cstheme="majorHAnsi"/>
        </w:rPr>
      </w:pPr>
      <w:r w:rsidRPr="00C74A39">
        <w:rPr>
          <w:rFonts w:asciiTheme="majorHAnsi" w:hAnsiTheme="majorHAnsi" w:cstheme="majorHAnsi"/>
        </w:rPr>
        <w:t>These are scenarios, and not</w:t>
      </w:r>
      <w:r w:rsidR="002838AF" w:rsidRPr="00C74A39">
        <w:rPr>
          <w:rFonts w:asciiTheme="majorHAnsi" w:hAnsiTheme="majorHAnsi" w:cstheme="majorHAnsi"/>
        </w:rPr>
        <w:t xml:space="preserve"> subjective judgement</w:t>
      </w:r>
      <w:r w:rsidRPr="00C74A39">
        <w:rPr>
          <w:rFonts w:asciiTheme="majorHAnsi" w:hAnsiTheme="majorHAnsi" w:cstheme="majorHAnsi"/>
        </w:rPr>
        <w:t>s</w:t>
      </w:r>
      <w:r w:rsidR="002838AF" w:rsidRPr="00C74A39">
        <w:rPr>
          <w:rFonts w:asciiTheme="majorHAnsi" w:hAnsiTheme="majorHAnsi" w:cstheme="majorHAnsi"/>
        </w:rPr>
        <w:t xml:space="preserve"> on whether or not an outcome is ‘good’ or ‘bad’.  It is simply to highlight the net impact upon </w:t>
      </w:r>
      <w:r w:rsidR="00735729" w:rsidRPr="00C74A39">
        <w:rPr>
          <w:rFonts w:asciiTheme="majorHAnsi" w:hAnsiTheme="majorHAnsi" w:cstheme="majorHAnsi"/>
        </w:rPr>
        <w:t>economic activity</w:t>
      </w:r>
      <w:r w:rsidR="002838AF" w:rsidRPr="00C74A39">
        <w:rPr>
          <w:rFonts w:asciiTheme="majorHAnsi" w:hAnsiTheme="majorHAnsi" w:cstheme="majorHAnsi"/>
        </w:rPr>
        <w:t xml:space="preserve">. Some will argue that trading-off some activity for other outcomes, such as greater equality, is worth it. </w:t>
      </w:r>
      <w:r w:rsidRPr="00C74A39">
        <w:rPr>
          <w:rFonts w:asciiTheme="majorHAnsi" w:hAnsiTheme="majorHAnsi" w:cstheme="majorHAnsi"/>
        </w:rPr>
        <w:t xml:space="preserve">It all depends how people faced with these trade-offs behave. </w:t>
      </w:r>
    </w:p>
    <w:p w14:paraId="372A1E6D" w14:textId="204C3AEE" w:rsidR="001C63F7" w:rsidRPr="00C74A39" w:rsidRDefault="001C63F7" w:rsidP="00727319">
      <w:pPr>
        <w:rPr>
          <w:rFonts w:asciiTheme="majorHAnsi" w:hAnsiTheme="majorHAnsi" w:cstheme="majorHAnsi"/>
        </w:rPr>
      </w:pPr>
      <w:r w:rsidRPr="00C74A39">
        <w:rPr>
          <w:rFonts w:asciiTheme="majorHAnsi" w:hAnsiTheme="majorHAnsi" w:cstheme="majorHAnsi"/>
        </w:rPr>
        <w:t>As we emphasise in our report, a social contract that implied a willingness by many to accept a lower real disposable income in return for the greater equity created by a CBI</w:t>
      </w:r>
      <w:r w:rsidR="00255C0E">
        <w:rPr>
          <w:rFonts w:asciiTheme="majorHAnsi" w:hAnsiTheme="majorHAnsi" w:cstheme="majorHAnsi"/>
        </w:rPr>
        <w:t>,</w:t>
      </w:r>
      <w:r w:rsidRPr="00C74A39">
        <w:rPr>
          <w:rFonts w:asciiTheme="majorHAnsi" w:hAnsiTheme="majorHAnsi" w:cstheme="majorHAnsi"/>
        </w:rPr>
        <w:t xml:space="preserve"> could </w:t>
      </w:r>
      <w:r w:rsidR="001E2A27">
        <w:rPr>
          <w:rFonts w:asciiTheme="majorHAnsi" w:hAnsiTheme="majorHAnsi" w:cstheme="majorHAnsi"/>
        </w:rPr>
        <w:t>minimise</w:t>
      </w:r>
      <w:r w:rsidR="001E2A27" w:rsidRPr="00C74A39">
        <w:rPr>
          <w:rFonts w:asciiTheme="majorHAnsi" w:hAnsiTheme="majorHAnsi" w:cstheme="majorHAnsi"/>
        </w:rPr>
        <w:t xml:space="preserve"> </w:t>
      </w:r>
      <w:r w:rsidRPr="00C74A39">
        <w:rPr>
          <w:rFonts w:asciiTheme="majorHAnsi" w:hAnsiTheme="majorHAnsi" w:cstheme="majorHAnsi"/>
        </w:rPr>
        <w:t>any adverse macroeconomic impacts. Our report makes no subjective judgment on whether or not such a social contract is achievabl</w:t>
      </w:r>
      <w:r w:rsidR="001E2A27">
        <w:rPr>
          <w:rFonts w:asciiTheme="majorHAnsi" w:hAnsiTheme="majorHAnsi" w:cstheme="majorHAnsi"/>
        </w:rPr>
        <w:t xml:space="preserve">e, either within Scotland or even if it could be, whether or not Scotland could do so on its own without considering what other countries might do.  </w:t>
      </w:r>
    </w:p>
    <w:p w14:paraId="0F5B7511" w14:textId="6129FACB" w:rsidR="008A3343" w:rsidRPr="00C74A39" w:rsidRDefault="008A3343" w:rsidP="00727319">
      <w:pPr>
        <w:rPr>
          <w:rFonts w:asciiTheme="majorHAnsi" w:hAnsiTheme="majorHAnsi" w:cstheme="majorHAnsi"/>
        </w:rPr>
      </w:pPr>
      <w:r w:rsidRPr="00C74A39">
        <w:rPr>
          <w:rFonts w:asciiTheme="majorHAnsi" w:hAnsiTheme="majorHAnsi" w:cstheme="majorHAnsi"/>
        </w:rPr>
        <w:t xml:space="preserve">In all scenarios, we would see some increase in consumption spend because of the redistribution of income to lower income households who are more likely to spend additional income rather than save. </w:t>
      </w:r>
    </w:p>
    <w:p w14:paraId="139FFF28" w14:textId="73FD082A" w:rsidR="001F158B" w:rsidRPr="00C74A39" w:rsidRDefault="001F158B" w:rsidP="00727319">
      <w:pPr>
        <w:rPr>
          <w:rFonts w:asciiTheme="majorHAnsi" w:hAnsiTheme="majorHAnsi" w:cstheme="majorHAnsi"/>
          <w:b/>
        </w:rPr>
      </w:pPr>
      <w:r w:rsidRPr="00C74A39">
        <w:rPr>
          <w:rFonts w:asciiTheme="majorHAnsi" w:hAnsiTheme="majorHAnsi" w:cstheme="majorHAnsi"/>
          <w:b/>
        </w:rPr>
        <w:t>What does your model say about the possible impact on the size of the economy?</w:t>
      </w:r>
    </w:p>
    <w:p w14:paraId="0462A2D5" w14:textId="68473206" w:rsidR="00797857" w:rsidRDefault="008A3343" w:rsidP="00727319">
      <w:pPr>
        <w:rPr>
          <w:rFonts w:asciiTheme="majorHAnsi" w:hAnsiTheme="majorHAnsi" w:cstheme="majorHAnsi"/>
        </w:rPr>
      </w:pPr>
      <w:r w:rsidRPr="00C74A39">
        <w:rPr>
          <w:rFonts w:asciiTheme="majorHAnsi" w:hAnsiTheme="majorHAnsi" w:cstheme="majorHAnsi"/>
        </w:rPr>
        <w:t xml:space="preserve">Our modelling </w:t>
      </w:r>
      <w:r w:rsidR="006D0E98" w:rsidRPr="00C74A39">
        <w:rPr>
          <w:rFonts w:asciiTheme="majorHAnsi" w:hAnsiTheme="majorHAnsi" w:cstheme="majorHAnsi"/>
        </w:rPr>
        <w:t>of the low</w:t>
      </w:r>
      <w:r w:rsidR="00E356F3">
        <w:rPr>
          <w:rFonts w:asciiTheme="majorHAnsi" w:hAnsiTheme="majorHAnsi" w:cstheme="majorHAnsi"/>
        </w:rPr>
        <w:t>-</w:t>
      </w:r>
      <w:r w:rsidR="006D0E98" w:rsidRPr="00C74A39">
        <w:rPr>
          <w:rFonts w:asciiTheme="majorHAnsi" w:hAnsiTheme="majorHAnsi" w:cstheme="majorHAnsi"/>
        </w:rPr>
        <w:t xml:space="preserve">level CBI </w:t>
      </w:r>
      <w:r w:rsidR="00C74A39">
        <w:rPr>
          <w:rFonts w:asciiTheme="majorHAnsi" w:hAnsiTheme="majorHAnsi" w:cstheme="majorHAnsi"/>
        </w:rPr>
        <w:t xml:space="preserve">uses a scenario that assumes that people take into consideration of the value of the CBI they receive and then seek to increase their wages to keep their own income the same as it was pre-CBI. </w:t>
      </w:r>
    </w:p>
    <w:p w14:paraId="24E4BE10" w14:textId="65E72769" w:rsidR="001F158B" w:rsidRPr="00C74A39" w:rsidRDefault="00C74A39" w:rsidP="00727319">
      <w:pPr>
        <w:rPr>
          <w:rFonts w:asciiTheme="majorHAnsi" w:hAnsiTheme="majorHAnsi" w:cstheme="majorHAnsi"/>
        </w:rPr>
      </w:pPr>
      <w:r>
        <w:rPr>
          <w:rFonts w:asciiTheme="majorHAnsi" w:hAnsiTheme="majorHAnsi" w:cstheme="majorHAnsi"/>
        </w:rPr>
        <w:t xml:space="preserve">The long run-impact, if we assume </w:t>
      </w:r>
      <w:r w:rsidR="00E356F3">
        <w:rPr>
          <w:rFonts w:asciiTheme="majorHAnsi" w:hAnsiTheme="majorHAnsi" w:cstheme="majorHAnsi"/>
        </w:rPr>
        <w:t>a strong migration response</w:t>
      </w:r>
      <w:r>
        <w:rPr>
          <w:rFonts w:asciiTheme="majorHAnsi" w:hAnsiTheme="majorHAnsi" w:cstheme="majorHAnsi"/>
        </w:rPr>
        <w:t xml:space="preserve">, would be a reduction in the size of the economy by around 15% according to our model due to the impact of the increase in wage costs. It is important to reiterate that impacts could be higher or lower than this </w:t>
      </w:r>
      <w:r w:rsidR="00E356F3">
        <w:rPr>
          <w:rFonts w:asciiTheme="majorHAnsi" w:hAnsiTheme="majorHAnsi" w:cstheme="majorHAnsi"/>
        </w:rPr>
        <w:t xml:space="preserve">this – significantly lower with a muted migration response - </w:t>
      </w:r>
      <w:r>
        <w:rPr>
          <w:rFonts w:asciiTheme="majorHAnsi" w:hAnsiTheme="majorHAnsi" w:cstheme="majorHAnsi"/>
        </w:rPr>
        <w:t xml:space="preserve">and is wholly dependent on </w:t>
      </w:r>
      <w:r w:rsidRPr="00B40F27">
        <w:rPr>
          <w:rFonts w:asciiTheme="majorHAnsi" w:hAnsiTheme="majorHAnsi" w:cstheme="majorHAnsi"/>
        </w:rPr>
        <w:t>how people respond to the new income and to the new tax rates</w:t>
      </w:r>
      <w:r w:rsidRPr="00C74A39">
        <w:rPr>
          <w:rFonts w:asciiTheme="majorHAnsi" w:hAnsiTheme="majorHAnsi" w:cstheme="majorHAnsi"/>
        </w:rPr>
        <w:t xml:space="preserve"> </w:t>
      </w:r>
    </w:p>
    <w:p w14:paraId="42A6C932" w14:textId="423DDBA9" w:rsidR="008A3343" w:rsidRPr="00C74A39" w:rsidRDefault="00180734" w:rsidP="00727319">
      <w:pPr>
        <w:rPr>
          <w:rFonts w:asciiTheme="majorHAnsi" w:hAnsiTheme="majorHAnsi" w:cstheme="majorHAnsi"/>
        </w:rPr>
      </w:pPr>
      <w:r w:rsidRPr="00C74A39">
        <w:rPr>
          <w:rFonts w:asciiTheme="majorHAnsi" w:hAnsiTheme="majorHAnsi" w:cstheme="majorHAnsi"/>
        </w:rPr>
        <w:t xml:space="preserve">It should be noted that what we are not saying that the economy will immediately ‘shrink’ by that amount – instead this is how much smaller the economy would </w:t>
      </w:r>
      <w:r w:rsidR="00E356F3">
        <w:rPr>
          <w:rFonts w:asciiTheme="majorHAnsi" w:hAnsiTheme="majorHAnsi" w:cstheme="majorHAnsi"/>
        </w:rPr>
        <w:t xml:space="preserve">ultimately </w:t>
      </w:r>
      <w:r w:rsidRPr="00C74A39">
        <w:rPr>
          <w:rFonts w:asciiTheme="majorHAnsi" w:hAnsiTheme="majorHAnsi" w:cstheme="majorHAnsi"/>
        </w:rPr>
        <w:t xml:space="preserve">be relative to a baseline in the future. </w:t>
      </w:r>
      <w:r w:rsidR="00735729" w:rsidRPr="00C74A39">
        <w:rPr>
          <w:rFonts w:asciiTheme="majorHAnsi" w:hAnsiTheme="majorHAnsi" w:cstheme="majorHAnsi"/>
        </w:rPr>
        <w:t>Of course</w:t>
      </w:r>
      <w:r w:rsidR="00E356F3">
        <w:rPr>
          <w:rFonts w:asciiTheme="majorHAnsi" w:hAnsiTheme="majorHAnsi" w:cstheme="majorHAnsi"/>
        </w:rPr>
        <w:t>,</w:t>
      </w:r>
      <w:r w:rsidR="001E2A27">
        <w:rPr>
          <w:rFonts w:asciiTheme="majorHAnsi" w:hAnsiTheme="majorHAnsi" w:cstheme="majorHAnsi"/>
        </w:rPr>
        <w:t xml:space="preserve"> however</w:t>
      </w:r>
      <w:r w:rsidR="00735729" w:rsidRPr="00C74A39">
        <w:rPr>
          <w:rFonts w:asciiTheme="majorHAnsi" w:hAnsiTheme="majorHAnsi" w:cstheme="majorHAnsi"/>
        </w:rPr>
        <w:t xml:space="preserve">, relative growth matters too. </w:t>
      </w:r>
    </w:p>
    <w:p w14:paraId="4C8A0D9B" w14:textId="075ADC4C" w:rsidR="001F158B" w:rsidRPr="00C74A39" w:rsidRDefault="001F158B" w:rsidP="00727319">
      <w:pPr>
        <w:rPr>
          <w:rFonts w:asciiTheme="majorHAnsi" w:hAnsiTheme="majorHAnsi" w:cstheme="majorHAnsi"/>
          <w:b/>
        </w:rPr>
      </w:pPr>
      <w:r w:rsidRPr="00C74A39">
        <w:rPr>
          <w:rFonts w:asciiTheme="majorHAnsi" w:hAnsiTheme="majorHAnsi" w:cstheme="majorHAnsi"/>
          <w:b/>
        </w:rPr>
        <w:t xml:space="preserve">Would we see improvements in the economy if </w:t>
      </w:r>
      <w:r w:rsidR="001C63F7" w:rsidRPr="00C74A39">
        <w:rPr>
          <w:rFonts w:asciiTheme="majorHAnsi" w:hAnsiTheme="majorHAnsi" w:cstheme="majorHAnsi"/>
          <w:b/>
        </w:rPr>
        <w:t xml:space="preserve">people have more choices and </w:t>
      </w:r>
      <w:r w:rsidRPr="00C74A39">
        <w:rPr>
          <w:rFonts w:asciiTheme="majorHAnsi" w:hAnsiTheme="majorHAnsi" w:cstheme="majorHAnsi"/>
          <w:b/>
        </w:rPr>
        <w:t xml:space="preserve">wellbeing </w:t>
      </w:r>
      <w:r w:rsidR="001C63F7" w:rsidRPr="00C74A39">
        <w:rPr>
          <w:rFonts w:asciiTheme="majorHAnsi" w:hAnsiTheme="majorHAnsi" w:cstheme="majorHAnsi"/>
          <w:b/>
        </w:rPr>
        <w:t xml:space="preserve">is </w:t>
      </w:r>
      <w:r w:rsidRPr="00C74A39">
        <w:rPr>
          <w:rFonts w:asciiTheme="majorHAnsi" w:hAnsiTheme="majorHAnsi" w:cstheme="majorHAnsi"/>
          <w:b/>
        </w:rPr>
        <w:t>improved?</w:t>
      </w:r>
    </w:p>
    <w:p w14:paraId="4A062E3B" w14:textId="2026391D" w:rsidR="00180734" w:rsidRPr="00C74A39" w:rsidRDefault="00735729" w:rsidP="00727319">
      <w:pPr>
        <w:rPr>
          <w:rFonts w:asciiTheme="majorHAnsi" w:hAnsiTheme="majorHAnsi" w:cstheme="majorHAnsi"/>
        </w:rPr>
      </w:pPr>
      <w:r w:rsidRPr="00C74A39">
        <w:rPr>
          <w:rFonts w:asciiTheme="majorHAnsi" w:hAnsiTheme="majorHAnsi" w:cstheme="majorHAnsi"/>
        </w:rPr>
        <w:t>T</w:t>
      </w:r>
      <w:r w:rsidR="00180734" w:rsidRPr="00C74A39">
        <w:rPr>
          <w:rFonts w:asciiTheme="majorHAnsi" w:hAnsiTheme="majorHAnsi" w:cstheme="majorHAnsi"/>
        </w:rPr>
        <w:t xml:space="preserve">here are other – more indirect – avenues through which a CBI may impact upon the economy. </w:t>
      </w:r>
    </w:p>
    <w:p w14:paraId="32E15DAA" w14:textId="466CCA30" w:rsidR="001C63F7" w:rsidRPr="00C74A39" w:rsidRDefault="001C63F7" w:rsidP="00727319">
      <w:pPr>
        <w:rPr>
          <w:rFonts w:asciiTheme="majorHAnsi" w:hAnsiTheme="majorHAnsi" w:cstheme="majorHAnsi"/>
        </w:rPr>
      </w:pPr>
      <w:r w:rsidRPr="00C74A39">
        <w:rPr>
          <w:rFonts w:asciiTheme="majorHAnsi" w:hAnsiTheme="majorHAnsi" w:cstheme="majorHAnsi"/>
        </w:rPr>
        <w:t xml:space="preserve">Evidence from a range of CBI-type </w:t>
      </w:r>
      <w:r w:rsidR="001E2A27">
        <w:rPr>
          <w:rFonts w:asciiTheme="majorHAnsi" w:hAnsiTheme="majorHAnsi" w:cstheme="majorHAnsi"/>
        </w:rPr>
        <w:t xml:space="preserve">studies, </w:t>
      </w:r>
      <w:r w:rsidR="005807BC">
        <w:rPr>
          <w:rFonts w:asciiTheme="majorHAnsi" w:hAnsiTheme="majorHAnsi" w:cstheme="majorHAnsi"/>
        </w:rPr>
        <w:t xml:space="preserve">a review of </w:t>
      </w:r>
      <w:r w:rsidRPr="00C74A39">
        <w:rPr>
          <w:rFonts w:asciiTheme="majorHAnsi" w:hAnsiTheme="majorHAnsi" w:cstheme="majorHAnsi"/>
        </w:rPr>
        <w:t>which is included as an annex to our report</w:t>
      </w:r>
      <w:r w:rsidR="001E2A27">
        <w:rPr>
          <w:rFonts w:asciiTheme="majorHAnsi" w:hAnsiTheme="majorHAnsi" w:cstheme="majorHAnsi"/>
        </w:rPr>
        <w:t>,</w:t>
      </w:r>
      <w:r w:rsidRPr="00C74A39">
        <w:rPr>
          <w:rFonts w:asciiTheme="majorHAnsi" w:hAnsiTheme="majorHAnsi" w:cstheme="majorHAnsi"/>
        </w:rPr>
        <w:t xml:space="preserve"> looks </w:t>
      </w:r>
      <w:r w:rsidR="00255C0E">
        <w:rPr>
          <w:rFonts w:asciiTheme="majorHAnsi" w:hAnsiTheme="majorHAnsi" w:cstheme="majorHAnsi"/>
        </w:rPr>
        <w:t xml:space="preserve">at </w:t>
      </w:r>
      <w:r w:rsidRPr="00C74A39">
        <w:rPr>
          <w:rFonts w:asciiTheme="majorHAnsi" w:hAnsiTheme="majorHAnsi" w:cstheme="majorHAnsi"/>
        </w:rPr>
        <w:t xml:space="preserve">interventions around the world. This review found some qualitative evidence of beneficial effects that could impact the economy, for example, through reduced precarity and improved mental health, and the possibility of freeing people to improve their human capital or engage in entrepreneurial activity. This could lead to long-term savings too for public sector budgets. </w:t>
      </w:r>
    </w:p>
    <w:p w14:paraId="0AD3212C" w14:textId="3428C2D6" w:rsidR="001C63F7" w:rsidRPr="00C74A39" w:rsidRDefault="001C63F7" w:rsidP="00727319">
      <w:pPr>
        <w:rPr>
          <w:rFonts w:asciiTheme="majorHAnsi" w:hAnsiTheme="majorHAnsi" w:cstheme="majorHAnsi"/>
        </w:rPr>
      </w:pPr>
      <w:r w:rsidRPr="00C74A39">
        <w:rPr>
          <w:rFonts w:asciiTheme="majorHAnsi" w:hAnsiTheme="majorHAnsi" w:cstheme="majorHAnsi"/>
        </w:rPr>
        <w:t xml:space="preserve">Quite a lot of the case study evidence, however, relates to CBI-type interventions that were either externally funded (e.g. via a sovereign wealth fund) or that are small scale and effectively imply that zero costs are borne by CBI recipients. So, applicability to the Scottish case is not immediately obvious. </w:t>
      </w:r>
    </w:p>
    <w:p w14:paraId="60AC435D" w14:textId="33C7AB6E" w:rsidR="001C63F7" w:rsidRPr="00C74A39" w:rsidRDefault="001C63F7" w:rsidP="00727319">
      <w:pPr>
        <w:rPr>
          <w:rFonts w:asciiTheme="majorHAnsi" w:hAnsiTheme="majorHAnsi" w:cstheme="majorHAnsi"/>
        </w:rPr>
      </w:pPr>
      <w:r w:rsidRPr="00C74A39">
        <w:rPr>
          <w:rFonts w:asciiTheme="majorHAnsi" w:hAnsiTheme="majorHAnsi" w:cstheme="majorHAnsi"/>
        </w:rPr>
        <w:lastRenderedPageBreak/>
        <w:t xml:space="preserve">Nonetheless, the potentially </w:t>
      </w:r>
      <w:r w:rsidR="00E356F3">
        <w:rPr>
          <w:rFonts w:asciiTheme="majorHAnsi" w:hAnsiTheme="majorHAnsi" w:cstheme="majorHAnsi"/>
        </w:rPr>
        <w:t xml:space="preserve">beneficial </w:t>
      </w:r>
      <w:r w:rsidRPr="00C74A39">
        <w:rPr>
          <w:rFonts w:asciiTheme="majorHAnsi" w:hAnsiTheme="majorHAnsi" w:cstheme="majorHAnsi"/>
        </w:rPr>
        <w:t xml:space="preserve">effects on individuals’ well-being could potentially prove important to the economy over the longer-term. Unfortunately, however, there is currently little or no indication of the likely scale of such effects (and, in general, there is even ambiguity about the direction of some effects). </w:t>
      </w:r>
    </w:p>
    <w:p w14:paraId="1381499A" w14:textId="5A3AB2BB" w:rsidR="008A3343" w:rsidRPr="00C74A39" w:rsidRDefault="008A3343" w:rsidP="00727319">
      <w:pPr>
        <w:rPr>
          <w:rFonts w:asciiTheme="majorHAnsi" w:hAnsiTheme="majorHAnsi" w:cstheme="majorHAnsi"/>
        </w:rPr>
      </w:pPr>
      <w:r w:rsidRPr="00C74A39">
        <w:rPr>
          <w:rFonts w:asciiTheme="majorHAnsi" w:hAnsiTheme="majorHAnsi" w:cstheme="majorHAnsi"/>
        </w:rPr>
        <w:t xml:space="preserve">If there was a significant boost to productivity due to improvements in health and wellbeing, then there would be offsetting positive macroeconomic impacts. Those productivity impacts would however </w:t>
      </w:r>
      <w:r w:rsidR="00E356F3">
        <w:rPr>
          <w:rFonts w:asciiTheme="majorHAnsi" w:hAnsiTheme="majorHAnsi" w:cstheme="majorHAnsi"/>
        </w:rPr>
        <w:t xml:space="preserve">likely </w:t>
      </w:r>
      <w:r w:rsidRPr="00C74A39">
        <w:rPr>
          <w:rFonts w:asciiTheme="majorHAnsi" w:hAnsiTheme="majorHAnsi" w:cstheme="majorHAnsi"/>
        </w:rPr>
        <w:t xml:space="preserve">need to be large to make an impact on </w:t>
      </w:r>
      <w:r w:rsidR="00E356F3">
        <w:rPr>
          <w:rFonts w:asciiTheme="majorHAnsi" w:hAnsiTheme="majorHAnsi" w:cstheme="majorHAnsi"/>
        </w:rPr>
        <w:t xml:space="preserve">the scenario we set out </w:t>
      </w:r>
      <w:r w:rsidR="00332FC5">
        <w:rPr>
          <w:rFonts w:asciiTheme="majorHAnsi" w:hAnsiTheme="majorHAnsi" w:cstheme="majorHAnsi"/>
        </w:rPr>
        <w:t>above</w:t>
      </w:r>
      <w:r w:rsidR="00180734" w:rsidRPr="00C74A39">
        <w:rPr>
          <w:rFonts w:asciiTheme="majorHAnsi" w:hAnsiTheme="majorHAnsi" w:cstheme="majorHAnsi"/>
        </w:rPr>
        <w:t xml:space="preserve">. </w:t>
      </w:r>
    </w:p>
    <w:p w14:paraId="61F14287" w14:textId="006BF56B" w:rsidR="00EC188E" w:rsidRPr="00C74A39" w:rsidRDefault="00EC188E" w:rsidP="00727319">
      <w:pPr>
        <w:rPr>
          <w:rFonts w:asciiTheme="majorHAnsi" w:hAnsiTheme="majorHAnsi" w:cstheme="majorHAnsi"/>
        </w:rPr>
      </w:pPr>
      <w:r w:rsidRPr="00C74A39">
        <w:rPr>
          <w:rFonts w:asciiTheme="majorHAnsi" w:hAnsiTheme="majorHAnsi" w:cstheme="majorHAnsi"/>
        </w:rPr>
        <w:t>There</w:t>
      </w:r>
      <w:r w:rsidR="008A3343" w:rsidRPr="00C74A39">
        <w:rPr>
          <w:rFonts w:asciiTheme="majorHAnsi" w:hAnsiTheme="majorHAnsi" w:cstheme="majorHAnsi"/>
        </w:rPr>
        <w:t xml:space="preserve"> will be other factors at play too. Some people</w:t>
      </w:r>
      <w:r w:rsidRPr="00C74A39">
        <w:rPr>
          <w:rFonts w:asciiTheme="majorHAnsi" w:hAnsiTheme="majorHAnsi" w:cstheme="majorHAnsi"/>
        </w:rPr>
        <w:t xml:space="preserve"> </w:t>
      </w:r>
      <w:r w:rsidR="008A3343" w:rsidRPr="00C74A39">
        <w:rPr>
          <w:rFonts w:asciiTheme="majorHAnsi" w:hAnsiTheme="majorHAnsi" w:cstheme="majorHAnsi"/>
        </w:rPr>
        <w:t>may</w:t>
      </w:r>
      <w:r w:rsidRPr="00C74A39">
        <w:rPr>
          <w:rFonts w:asciiTheme="majorHAnsi" w:hAnsiTheme="majorHAnsi" w:cstheme="majorHAnsi"/>
        </w:rPr>
        <w:t xml:space="preserve"> choose to work less as a result of the basic income. Some of these people may take some time out to </w:t>
      </w:r>
      <w:r w:rsidR="00332FC5">
        <w:rPr>
          <w:rFonts w:asciiTheme="majorHAnsi" w:hAnsiTheme="majorHAnsi" w:cstheme="majorHAnsi"/>
        </w:rPr>
        <w:t>volunteer</w:t>
      </w:r>
      <w:r w:rsidRPr="00C74A39">
        <w:rPr>
          <w:rFonts w:asciiTheme="majorHAnsi" w:hAnsiTheme="majorHAnsi" w:cstheme="majorHAnsi"/>
        </w:rPr>
        <w:t>. Some may permanently reduce their paid labour, but this</w:t>
      </w:r>
      <w:r w:rsidR="008A3343" w:rsidRPr="00C74A39">
        <w:rPr>
          <w:rFonts w:asciiTheme="majorHAnsi" w:hAnsiTheme="majorHAnsi" w:cstheme="majorHAnsi"/>
        </w:rPr>
        <w:t xml:space="preserve"> in itself</w:t>
      </w:r>
      <w:r w:rsidRPr="00C74A39">
        <w:rPr>
          <w:rFonts w:asciiTheme="majorHAnsi" w:hAnsiTheme="majorHAnsi" w:cstheme="majorHAnsi"/>
        </w:rPr>
        <w:t xml:space="preserve"> may have positive benefits for society. </w:t>
      </w:r>
    </w:p>
    <w:p w14:paraId="6E48E970" w14:textId="569576A4" w:rsidR="00180734" w:rsidRPr="00C74A39" w:rsidRDefault="00EC188E" w:rsidP="00727319">
      <w:pPr>
        <w:rPr>
          <w:rFonts w:asciiTheme="majorHAnsi" w:hAnsiTheme="majorHAnsi" w:cstheme="majorHAnsi"/>
        </w:rPr>
      </w:pPr>
      <w:r w:rsidRPr="00C74A39">
        <w:rPr>
          <w:rFonts w:asciiTheme="majorHAnsi" w:hAnsiTheme="majorHAnsi" w:cstheme="majorHAnsi"/>
        </w:rPr>
        <w:t xml:space="preserve">Exactly </w:t>
      </w:r>
      <w:r w:rsidR="008A3343" w:rsidRPr="00C74A39">
        <w:rPr>
          <w:rFonts w:asciiTheme="majorHAnsi" w:hAnsiTheme="majorHAnsi" w:cstheme="majorHAnsi"/>
        </w:rPr>
        <w:t xml:space="preserve">how a basic income would unfold </w:t>
      </w:r>
      <w:r w:rsidRPr="00C74A39">
        <w:rPr>
          <w:rFonts w:asciiTheme="majorHAnsi" w:hAnsiTheme="majorHAnsi" w:cstheme="majorHAnsi"/>
        </w:rPr>
        <w:t>cannot be predicted</w:t>
      </w:r>
      <w:r w:rsidR="008A3343" w:rsidRPr="00C74A39">
        <w:rPr>
          <w:rFonts w:asciiTheme="majorHAnsi" w:hAnsiTheme="majorHAnsi" w:cstheme="majorHAnsi"/>
        </w:rPr>
        <w:t>. Much m</w:t>
      </w:r>
      <w:r w:rsidRPr="00C74A39">
        <w:rPr>
          <w:rFonts w:asciiTheme="majorHAnsi" w:hAnsiTheme="majorHAnsi" w:cstheme="majorHAnsi"/>
        </w:rPr>
        <w:t xml:space="preserve">ore evidence to understand the behavioural implications is required </w:t>
      </w:r>
      <w:r w:rsidR="00332FC5">
        <w:rPr>
          <w:rFonts w:asciiTheme="majorHAnsi" w:hAnsiTheme="majorHAnsi" w:cstheme="majorHAnsi"/>
        </w:rPr>
        <w:t xml:space="preserve">to facilitate an </w:t>
      </w:r>
      <w:r w:rsidRPr="00C74A39">
        <w:rPr>
          <w:rFonts w:asciiTheme="majorHAnsi" w:hAnsiTheme="majorHAnsi" w:cstheme="majorHAnsi"/>
        </w:rPr>
        <w:t xml:space="preserve">evidenced based policy decision on a basic income. </w:t>
      </w:r>
    </w:p>
    <w:p w14:paraId="7D52B9F0" w14:textId="4CBEB0E7" w:rsidR="00222BC1" w:rsidRPr="00C74A39" w:rsidRDefault="0097628A" w:rsidP="00727319">
      <w:pPr>
        <w:rPr>
          <w:rFonts w:asciiTheme="majorHAnsi" w:hAnsiTheme="majorHAnsi" w:cstheme="majorHAnsi"/>
        </w:rPr>
      </w:pPr>
      <w:r>
        <w:rPr>
          <w:rFonts w:asciiTheme="majorHAnsi" w:hAnsiTheme="majorHAnsi" w:cstheme="majorHAnsi"/>
        </w:rPr>
        <w:t xml:space="preserve">The full report can be found </w:t>
      </w:r>
      <w:hyperlink r:id="rId10" w:history="1">
        <w:r w:rsidRPr="0097628A">
          <w:rPr>
            <w:rStyle w:val="Hyperlink"/>
            <w:rFonts w:asciiTheme="majorHAnsi" w:hAnsiTheme="majorHAnsi" w:cstheme="majorHAnsi"/>
          </w:rPr>
          <w:t>here</w:t>
        </w:r>
      </w:hyperlink>
      <w:r>
        <w:rPr>
          <w:rFonts w:asciiTheme="majorHAnsi" w:hAnsiTheme="majorHAnsi" w:cstheme="majorHAnsi"/>
        </w:rPr>
        <w:t xml:space="preserve">. </w:t>
      </w:r>
    </w:p>
    <w:sectPr w:rsidR="00222BC1" w:rsidRPr="00C74A39">
      <w:footnotePr>
        <w:pos w:val="beneathText"/>
      </w:footnotePr>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92539" w16cex:dateUtc="2020-05-27T16:43:00Z"/>
  <w16cex:commentExtensible w16cex:durableId="22791FC2" w16cex:dateUtc="2020-05-27T16:20:00Z"/>
  <w16cex:commentExtensible w16cex:durableId="2279205A" w16cex:dateUtc="2020-05-27T16:22:00Z"/>
  <w16cex:commentExtensible w16cex:durableId="227924AD" w16cex:dateUtc="2020-05-27T16:41:00Z"/>
  <w16cex:commentExtensible w16cex:durableId="227920C1" w16cex:dateUtc="2020-05-27T16: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592A6" w14:textId="77777777" w:rsidR="006B4F88" w:rsidRDefault="006B4F88" w:rsidP="005A6727">
      <w:pPr>
        <w:spacing w:after="0" w:line="240" w:lineRule="auto"/>
      </w:pPr>
      <w:r>
        <w:separator/>
      </w:r>
    </w:p>
  </w:endnote>
  <w:endnote w:type="continuationSeparator" w:id="0">
    <w:p w14:paraId="66002DAD" w14:textId="77777777" w:rsidR="006B4F88" w:rsidRDefault="006B4F88" w:rsidP="005A6727">
      <w:pPr>
        <w:spacing w:after="0" w:line="240" w:lineRule="auto"/>
      </w:pPr>
      <w:r>
        <w:continuationSeparator/>
      </w:r>
    </w:p>
  </w:endnote>
  <w:endnote w:id="1">
    <w:p w14:paraId="3A05C4CB" w14:textId="61FD909E" w:rsidR="0097628A" w:rsidRPr="00C74A39" w:rsidRDefault="0097628A" w:rsidP="00C74A39">
      <w:pPr>
        <w:pStyle w:val="EndnoteText"/>
        <w:spacing w:before="60" w:after="60" w:line="288" w:lineRule="auto"/>
        <w:rPr>
          <w:rFonts w:asciiTheme="majorHAnsi" w:hAnsiTheme="majorHAnsi" w:cstheme="majorHAnsi"/>
        </w:rPr>
      </w:pPr>
      <w:r w:rsidRPr="00C74A39">
        <w:rPr>
          <w:rStyle w:val="EndnoteReference"/>
          <w:rFonts w:asciiTheme="majorHAnsi" w:hAnsiTheme="majorHAnsi" w:cstheme="majorHAnsi"/>
        </w:rPr>
        <w:endnoteRef/>
      </w:r>
      <w:r w:rsidRPr="00C74A39">
        <w:rPr>
          <w:rFonts w:asciiTheme="majorHAnsi" w:hAnsiTheme="majorHAnsi" w:cstheme="majorHAnsi"/>
        </w:rPr>
        <w:t xml:space="preserve"> All amounts are increased in line with inflation to 2023/24</w:t>
      </w:r>
    </w:p>
  </w:endnote>
  <w:endnote w:id="2">
    <w:p w14:paraId="6F721A5D" w14:textId="3A92DD76" w:rsidR="0097628A" w:rsidRPr="00C74A39" w:rsidRDefault="0097628A" w:rsidP="00C74A39">
      <w:pPr>
        <w:pStyle w:val="EndnoteText"/>
        <w:spacing w:before="60" w:after="60" w:line="288" w:lineRule="auto"/>
        <w:rPr>
          <w:rFonts w:asciiTheme="majorHAnsi" w:hAnsiTheme="majorHAnsi" w:cstheme="majorHAnsi"/>
        </w:rPr>
      </w:pPr>
      <w:r w:rsidRPr="00C74A39">
        <w:rPr>
          <w:rStyle w:val="EndnoteReference"/>
          <w:rFonts w:asciiTheme="majorHAnsi" w:hAnsiTheme="majorHAnsi" w:cstheme="majorHAnsi"/>
        </w:rPr>
        <w:endnoteRef/>
      </w:r>
      <w:r w:rsidRPr="00C74A39">
        <w:rPr>
          <w:rFonts w:asciiTheme="majorHAnsi" w:hAnsiTheme="majorHAnsi" w:cstheme="majorHAnsi"/>
        </w:rPr>
        <w:t xml:space="preserve"> Whilst standard elements would be abolished, additional support within the means-tested benefit system for disabled people and for housing and childcare costs would remain</w:t>
      </w:r>
    </w:p>
  </w:endnote>
  <w:endnote w:id="3">
    <w:p w14:paraId="76A9D379" w14:textId="77777777" w:rsidR="0097628A" w:rsidRPr="001E2A27" w:rsidRDefault="0097628A" w:rsidP="00C74A39">
      <w:pPr>
        <w:pStyle w:val="EndnoteText"/>
        <w:spacing w:before="60" w:after="60" w:line="288" w:lineRule="auto"/>
        <w:rPr>
          <w:rFonts w:asciiTheme="majorHAnsi" w:hAnsiTheme="majorHAnsi" w:cstheme="majorHAnsi"/>
        </w:rPr>
      </w:pPr>
      <w:r w:rsidRPr="001E2A27">
        <w:rPr>
          <w:rStyle w:val="EndnoteReference"/>
          <w:rFonts w:asciiTheme="majorHAnsi" w:hAnsiTheme="majorHAnsi" w:cstheme="majorHAnsi"/>
        </w:rPr>
        <w:endnoteRef/>
      </w:r>
      <w:r w:rsidRPr="001E2A27">
        <w:rPr>
          <w:rFonts w:asciiTheme="majorHAnsi" w:hAnsiTheme="majorHAnsi" w:cstheme="majorHAnsi"/>
        </w:rPr>
        <w:t xml:space="preserve"> Scottish Income Tax bands: Band 1: £1 to £2,049; Band 2: £2050 to £12,444; Band 3: £12,445 to £30,930; Band 4: £30,931 to £150,000: Band 5: £150,001 plus</w:t>
      </w:r>
    </w:p>
  </w:endnote>
  <w:endnote w:id="4">
    <w:p w14:paraId="7B3A6503" w14:textId="77777777" w:rsidR="0097628A" w:rsidRPr="00C74A39" w:rsidRDefault="0097628A" w:rsidP="00C74A39">
      <w:pPr>
        <w:pStyle w:val="EndnoteText"/>
        <w:spacing w:before="60" w:after="60" w:line="288" w:lineRule="auto"/>
        <w:rPr>
          <w:rFonts w:asciiTheme="majorHAnsi" w:hAnsiTheme="majorHAnsi" w:cstheme="majorHAnsi"/>
        </w:rPr>
      </w:pPr>
      <w:r w:rsidRPr="00C74A39">
        <w:rPr>
          <w:rStyle w:val="EndnoteReference"/>
          <w:rFonts w:asciiTheme="majorHAnsi" w:hAnsiTheme="majorHAnsi" w:cstheme="majorHAnsi"/>
        </w:rPr>
        <w:endnoteRef/>
      </w:r>
      <w:r w:rsidRPr="00C74A39">
        <w:rPr>
          <w:rFonts w:asciiTheme="majorHAnsi" w:hAnsiTheme="majorHAnsi" w:cstheme="majorHAnsi"/>
        </w:rPr>
        <w:t xml:space="preserve"> As we discuss below, what is important is how people respond to both the introduction of a CBI and significant increase in taxation. In that regard, the ‘type’ of tax is very much a secondary issue. What matters is the relative scale of change which will impact upon people’s behaviours no matter the specific form of tax used.</w:t>
      </w:r>
    </w:p>
  </w:endnote>
  <w:endnote w:id="5">
    <w:p w14:paraId="30233F5A" w14:textId="77777777" w:rsidR="0097628A" w:rsidRPr="00052316" w:rsidRDefault="0097628A" w:rsidP="00084BFA">
      <w:pPr>
        <w:pStyle w:val="EndnoteText"/>
        <w:spacing w:before="60" w:after="60" w:line="288" w:lineRule="auto"/>
        <w:rPr>
          <w:rFonts w:asciiTheme="majorHAnsi" w:hAnsiTheme="majorHAnsi" w:cstheme="majorHAnsi"/>
        </w:rPr>
      </w:pPr>
      <w:r w:rsidRPr="001E2A27">
        <w:rPr>
          <w:rStyle w:val="EndnoteReference"/>
          <w:rFonts w:asciiTheme="majorHAnsi" w:hAnsiTheme="majorHAnsi" w:cstheme="majorHAnsi"/>
        </w:rPr>
        <w:endnoteRef/>
      </w:r>
      <w:r w:rsidRPr="00052316">
        <w:rPr>
          <w:rFonts w:asciiTheme="majorHAnsi" w:hAnsiTheme="majorHAnsi" w:cstheme="majorHAnsi"/>
        </w:rPr>
        <w:t xml:space="preserve"> The first child element of Universal Credit was increased to be the same as the new, higher, second and subsequent child element.</w:t>
      </w:r>
    </w:p>
  </w:endnote>
  <w:endnote w:id="6">
    <w:p w14:paraId="79E1A2CB" w14:textId="18D012A1" w:rsidR="0097628A" w:rsidRPr="001E2A27" w:rsidRDefault="0097628A" w:rsidP="00C74A39">
      <w:pPr>
        <w:pStyle w:val="EndnoteText"/>
        <w:spacing w:before="60" w:after="60" w:line="288" w:lineRule="auto"/>
        <w:rPr>
          <w:rFonts w:asciiTheme="majorHAnsi" w:hAnsiTheme="majorHAnsi" w:cstheme="majorHAnsi"/>
        </w:rPr>
      </w:pPr>
      <w:r w:rsidRPr="001E2A27">
        <w:rPr>
          <w:rStyle w:val="EndnoteReference"/>
          <w:rFonts w:asciiTheme="majorHAnsi" w:hAnsiTheme="majorHAnsi" w:cstheme="majorHAnsi"/>
        </w:rPr>
        <w:endnoteRef/>
      </w:r>
      <w:r w:rsidRPr="001E2A27">
        <w:rPr>
          <w:rFonts w:asciiTheme="majorHAnsi" w:hAnsiTheme="majorHAnsi" w:cstheme="majorHAnsi"/>
        </w:rPr>
        <w:t xml:space="preserve"> In effect, for every £1 earned from working, a larger share of it would be transferred to others in society as oppose</w:t>
      </w:r>
      <w:r>
        <w:rPr>
          <w:rFonts w:asciiTheme="majorHAnsi" w:hAnsiTheme="majorHAnsi" w:cstheme="majorHAnsi"/>
        </w:rPr>
        <w:t>d to</w:t>
      </w:r>
      <w:r w:rsidRPr="001E2A27">
        <w:rPr>
          <w:rFonts w:asciiTheme="majorHAnsi" w:hAnsiTheme="majorHAnsi" w:cstheme="majorHAnsi"/>
        </w:rPr>
        <w:t xml:space="preserve"> going to the employee directly. At the margin, they would </w:t>
      </w:r>
      <w:r>
        <w:rPr>
          <w:rFonts w:asciiTheme="majorHAnsi" w:hAnsiTheme="majorHAnsi" w:cstheme="majorHAnsi"/>
        </w:rPr>
        <w:t xml:space="preserve">be </w:t>
      </w:r>
      <w:r w:rsidRPr="001E2A27">
        <w:rPr>
          <w:rFonts w:asciiTheme="majorHAnsi" w:hAnsiTheme="majorHAnsi" w:cstheme="majorHAnsi"/>
        </w:rPr>
        <w:t>content with accepting a £1 reduction their personal disposable income provided it was spent on the CBI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Pro-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F5DCC" w14:textId="77777777" w:rsidR="006B4F88" w:rsidRDefault="006B4F88" w:rsidP="005A6727">
      <w:pPr>
        <w:spacing w:after="0" w:line="240" w:lineRule="auto"/>
      </w:pPr>
      <w:r>
        <w:separator/>
      </w:r>
    </w:p>
  </w:footnote>
  <w:footnote w:type="continuationSeparator" w:id="0">
    <w:p w14:paraId="15CE51BA" w14:textId="77777777" w:rsidR="006B4F88" w:rsidRDefault="006B4F88" w:rsidP="005A67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0587F"/>
    <w:multiLevelType w:val="hybridMultilevel"/>
    <w:tmpl w:val="80969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511665"/>
    <w:multiLevelType w:val="hybridMultilevel"/>
    <w:tmpl w:val="9B824B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C9A7B8E"/>
    <w:multiLevelType w:val="hybridMultilevel"/>
    <w:tmpl w:val="83CEDF1A"/>
    <w:lvl w:ilvl="0" w:tplc="835A7422">
      <w:start w:val="1"/>
      <w:numFmt w:val="decimal"/>
      <w:lvlText w:val="%1."/>
      <w:lvlJc w:val="left"/>
      <w:pPr>
        <w:tabs>
          <w:tab w:val="num" w:pos="720"/>
        </w:tabs>
        <w:ind w:left="720" w:hanging="360"/>
      </w:pPr>
    </w:lvl>
    <w:lvl w:ilvl="1" w:tplc="9A2E5D66" w:tentative="1">
      <w:start w:val="1"/>
      <w:numFmt w:val="decimal"/>
      <w:lvlText w:val="%2."/>
      <w:lvlJc w:val="left"/>
      <w:pPr>
        <w:tabs>
          <w:tab w:val="num" w:pos="1440"/>
        </w:tabs>
        <w:ind w:left="1440" w:hanging="360"/>
      </w:pPr>
    </w:lvl>
    <w:lvl w:ilvl="2" w:tplc="A73065A6" w:tentative="1">
      <w:start w:val="1"/>
      <w:numFmt w:val="decimal"/>
      <w:lvlText w:val="%3."/>
      <w:lvlJc w:val="left"/>
      <w:pPr>
        <w:tabs>
          <w:tab w:val="num" w:pos="2160"/>
        </w:tabs>
        <w:ind w:left="2160" w:hanging="360"/>
      </w:pPr>
    </w:lvl>
    <w:lvl w:ilvl="3" w:tplc="F64A17EA" w:tentative="1">
      <w:start w:val="1"/>
      <w:numFmt w:val="decimal"/>
      <w:lvlText w:val="%4."/>
      <w:lvlJc w:val="left"/>
      <w:pPr>
        <w:tabs>
          <w:tab w:val="num" w:pos="2880"/>
        </w:tabs>
        <w:ind w:left="2880" w:hanging="360"/>
      </w:pPr>
    </w:lvl>
    <w:lvl w:ilvl="4" w:tplc="F5AEDE66" w:tentative="1">
      <w:start w:val="1"/>
      <w:numFmt w:val="decimal"/>
      <w:lvlText w:val="%5."/>
      <w:lvlJc w:val="left"/>
      <w:pPr>
        <w:tabs>
          <w:tab w:val="num" w:pos="3600"/>
        </w:tabs>
        <w:ind w:left="3600" w:hanging="360"/>
      </w:pPr>
    </w:lvl>
    <w:lvl w:ilvl="5" w:tplc="9CCCEB84" w:tentative="1">
      <w:start w:val="1"/>
      <w:numFmt w:val="decimal"/>
      <w:lvlText w:val="%6."/>
      <w:lvlJc w:val="left"/>
      <w:pPr>
        <w:tabs>
          <w:tab w:val="num" w:pos="4320"/>
        </w:tabs>
        <w:ind w:left="4320" w:hanging="360"/>
      </w:pPr>
    </w:lvl>
    <w:lvl w:ilvl="6" w:tplc="AC9A448A" w:tentative="1">
      <w:start w:val="1"/>
      <w:numFmt w:val="decimal"/>
      <w:lvlText w:val="%7."/>
      <w:lvlJc w:val="left"/>
      <w:pPr>
        <w:tabs>
          <w:tab w:val="num" w:pos="5040"/>
        </w:tabs>
        <w:ind w:left="5040" w:hanging="360"/>
      </w:pPr>
    </w:lvl>
    <w:lvl w:ilvl="7" w:tplc="D64254EC" w:tentative="1">
      <w:start w:val="1"/>
      <w:numFmt w:val="decimal"/>
      <w:lvlText w:val="%8."/>
      <w:lvlJc w:val="left"/>
      <w:pPr>
        <w:tabs>
          <w:tab w:val="num" w:pos="5760"/>
        </w:tabs>
        <w:ind w:left="5760" w:hanging="360"/>
      </w:pPr>
    </w:lvl>
    <w:lvl w:ilvl="8" w:tplc="5192B6B4"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BC1"/>
    <w:rsid w:val="00003988"/>
    <w:rsid w:val="0001368C"/>
    <w:rsid w:val="00014E6C"/>
    <w:rsid w:val="00027120"/>
    <w:rsid w:val="0004506D"/>
    <w:rsid w:val="0005333A"/>
    <w:rsid w:val="00056E1C"/>
    <w:rsid w:val="00084BFA"/>
    <w:rsid w:val="00087E32"/>
    <w:rsid w:val="0009027C"/>
    <w:rsid w:val="000A6721"/>
    <w:rsid w:val="000C2560"/>
    <w:rsid w:val="000C369E"/>
    <w:rsid w:val="000D2B4F"/>
    <w:rsid w:val="000D3D4A"/>
    <w:rsid w:val="000D45A1"/>
    <w:rsid w:val="000D6EF7"/>
    <w:rsid w:val="000F5033"/>
    <w:rsid w:val="00117343"/>
    <w:rsid w:val="00121B0E"/>
    <w:rsid w:val="0017011F"/>
    <w:rsid w:val="00172D2F"/>
    <w:rsid w:val="00177BEB"/>
    <w:rsid w:val="00180734"/>
    <w:rsid w:val="0018428C"/>
    <w:rsid w:val="001C252F"/>
    <w:rsid w:val="001C63F7"/>
    <w:rsid w:val="001D286B"/>
    <w:rsid w:val="001E2A27"/>
    <w:rsid w:val="001E5B5C"/>
    <w:rsid w:val="001E5CDD"/>
    <w:rsid w:val="001F0281"/>
    <w:rsid w:val="001F158B"/>
    <w:rsid w:val="001F7DAC"/>
    <w:rsid w:val="00222BC1"/>
    <w:rsid w:val="00227C38"/>
    <w:rsid w:val="00255C0E"/>
    <w:rsid w:val="00255D45"/>
    <w:rsid w:val="00260DFB"/>
    <w:rsid w:val="002626E2"/>
    <w:rsid w:val="002838AF"/>
    <w:rsid w:val="0028790A"/>
    <w:rsid w:val="002A6D8B"/>
    <w:rsid w:val="002C5E28"/>
    <w:rsid w:val="00320D4F"/>
    <w:rsid w:val="00330F57"/>
    <w:rsid w:val="00331FD2"/>
    <w:rsid w:val="00332FC5"/>
    <w:rsid w:val="003631F5"/>
    <w:rsid w:val="00374742"/>
    <w:rsid w:val="00376F45"/>
    <w:rsid w:val="00381C7A"/>
    <w:rsid w:val="003A1901"/>
    <w:rsid w:val="003A5D65"/>
    <w:rsid w:val="003B06B8"/>
    <w:rsid w:val="003B4EDD"/>
    <w:rsid w:val="003D0C34"/>
    <w:rsid w:val="003D3059"/>
    <w:rsid w:val="00424CAF"/>
    <w:rsid w:val="0045307F"/>
    <w:rsid w:val="00455C6A"/>
    <w:rsid w:val="004710DA"/>
    <w:rsid w:val="00474111"/>
    <w:rsid w:val="004C4B3F"/>
    <w:rsid w:val="004D143A"/>
    <w:rsid w:val="004F15FE"/>
    <w:rsid w:val="004F44AC"/>
    <w:rsid w:val="005119F3"/>
    <w:rsid w:val="00521D2C"/>
    <w:rsid w:val="00571B7F"/>
    <w:rsid w:val="005807BC"/>
    <w:rsid w:val="00593231"/>
    <w:rsid w:val="005A6727"/>
    <w:rsid w:val="005B7DF0"/>
    <w:rsid w:val="005C2F21"/>
    <w:rsid w:val="005D71C3"/>
    <w:rsid w:val="0060043F"/>
    <w:rsid w:val="00613592"/>
    <w:rsid w:val="006135EE"/>
    <w:rsid w:val="00614982"/>
    <w:rsid w:val="00622AAB"/>
    <w:rsid w:val="00647921"/>
    <w:rsid w:val="00660496"/>
    <w:rsid w:val="00661763"/>
    <w:rsid w:val="00676E81"/>
    <w:rsid w:val="00696D2C"/>
    <w:rsid w:val="006B4F88"/>
    <w:rsid w:val="006C0E51"/>
    <w:rsid w:val="006D0E98"/>
    <w:rsid w:val="006D19D8"/>
    <w:rsid w:val="006D4663"/>
    <w:rsid w:val="006E56A0"/>
    <w:rsid w:val="00727319"/>
    <w:rsid w:val="00735729"/>
    <w:rsid w:val="00746A75"/>
    <w:rsid w:val="00767A47"/>
    <w:rsid w:val="007831C6"/>
    <w:rsid w:val="00793EC6"/>
    <w:rsid w:val="00797857"/>
    <w:rsid w:val="007D453E"/>
    <w:rsid w:val="007E7E51"/>
    <w:rsid w:val="00804146"/>
    <w:rsid w:val="008238D4"/>
    <w:rsid w:val="00836D85"/>
    <w:rsid w:val="008676FD"/>
    <w:rsid w:val="008866D9"/>
    <w:rsid w:val="008A2859"/>
    <w:rsid w:val="008A3343"/>
    <w:rsid w:val="008D5B27"/>
    <w:rsid w:val="00912224"/>
    <w:rsid w:val="00914A5E"/>
    <w:rsid w:val="00915C75"/>
    <w:rsid w:val="00921CF8"/>
    <w:rsid w:val="00945A3E"/>
    <w:rsid w:val="009652CD"/>
    <w:rsid w:val="00972452"/>
    <w:rsid w:val="0097628A"/>
    <w:rsid w:val="00983289"/>
    <w:rsid w:val="00990D7E"/>
    <w:rsid w:val="00990FE1"/>
    <w:rsid w:val="009D4AA5"/>
    <w:rsid w:val="009F3AD3"/>
    <w:rsid w:val="009F6CEF"/>
    <w:rsid w:val="00A05A32"/>
    <w:rsid w:val="00A12429"/>
    <w:rsid w:val="00A2035F"/>
    <w:rsid w:val="00A20ACA"/>
    <w:rsid w:val="00A24FDA"/>
    <w:rsid w:val="00A26B58"/>
    <w:rsid w:val="00A37BC6"/>
    <w:rsid w:val="00A607CE"/>
    <w:rsid w:val="00A7146F"/>
    <w:rsid w:val="00A7765E"/>
    <w:rsid w:val="00A83AAC"/>
    <w:rsid w:val="00AA430C"/>
    <w:rsid w:val="00AA4D6C"/>
    <w:rsid w:val="00AB58FA"/>
    <w:rsid w:val="00AC6824"/>
    <w:rsid w:val="00AD6797"/>
    <w:rsid w:val="00AE362E"/>
    <w:rsid w:val="00B002A7"/>
    <w:rsid w:val="00B10152"/>
    <w:rsid w:val="00B10506"/>
    <w:rsid w:val="00B10692"/>
    <w:rsid w:val="00B342DB"/>
    <w:rsid w:val="00B4509F"/>
    <w:rsid w:val="00B611C0"/>
    <w:rsid w:val="00B62532"/>
    <w:rsid w:val="00B62870"/>
    <w:rsid w:val="00BA082B"/>
    <w:rsid w:val="00BD2FBF"/>
    <w:rsid w:val="00BF252C"/>
    <w:rsid w:val="00BF4502"/>
    <w:rsid w:val="00C304F5"/>
    <w:rsid w:val="00C64FD0"/>
    <w:rsid w:val="00C656BE"/>
    <w:rsid w:val="00C724AE"/>
    <w:rsid w:val="00C74A39"/>
    <w:rsid w:val="00C7695D"/>
    <w:rsid w:val="00C949C0"/>
    <w:rsid w:val="00C96B91"/>
    <w:rsid w:val="00CA74F8"/>
    <w:rsid w:val="00CB1B88"/>
    <w:rsid w:val="00CC07DF"/>
    <w:rsid w:val="00CD345E"/>
    <w:rsid w:val="00D16334"/>
    <w:rsid w:val="00D23C5F"/>
    <w:rsid w:val="00D23E22"/>
    <w:rsid w:val="00D34F07"/>
    <w:rsid w:val="00D51A37"/>
    <w:rsid w:val="00D52BAB"/>
    <w:rsid w:val="00D653F6"/>
    <w:rsid w:val="00D70A42"/>
    <w:rsid w:val="00D714F2"/>
    <w:rsid w:val="00D932A0"/>
    <w:rsid w:val="00DA5ABC"/>
    <w:rsid w:val="00DA7232"/>
    <w:rsid w:val="00DA7E5A"/>
    <w:rsid w:val="00DB7020"/>
    <w:rsid w:val="00DD1440"/>
    <w:rsid w:val="00DF44E4"/>
    <w:rsid w:val="00DF75A5"/>
    <w:rsid w:val="00E01105"/>
    <w:rsid w:val="00E31204"/>
    <w:rsid w:val="00E356F3"/>
    <w:rsid w:val="00E41A5A"/>
    <w:rsid w:val="00E700DE"/>
    <w:rsid w:val="00E73CEF"/>
    <w:rsid w:val="00E904CE"/>
    <w:rsid w:val="00E97FF6"/>
    <w:rsid w:val="00EC188E"/>
    <w:rsid w:val="00ED7814"/>
    <w:rsid w:val="00EF61FB"/>
    <w:rsid w:val="00F005BB"/>
    <w:rsid w:val="00F00E8A"/>
    <w:rsid w:val="00F3376A"/>
    <w:rsid w:val="00FB43AF"/>
    <w:rsid w:val="00FC5416"/>
    <w:rsid w:val="00FE2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C7AF1"/>
  <w15:chartTrackingRefBased/>
  <w15:docId w15:val="{95449500-2E3C-482F-B84F-951D03BCF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C188E"/>
    <w:rPr>
      <w:sz w:val="16"/>
      <w:szCs w:val="16"/>
    </w:rPr>
  </w:style>
  <w:style w:type="paragraph" w:styleId="CommentText">
    <w:name w:val="annotation text"/>
    <w:basedOn w:val="Normal"/>
    <w:link w:val="CommentTextChar"/>
    <w:uiPriority w:val="99"/>
    <w:semiHidden/>
    <w:unhideWhenUsed/>
    <w:rsid w:val="00EC188E"/>
    <w:pPr>
      <w:spacing w:line="240" w:lineRule="auto"/>
    </w:pPr>
    <w:rPr>
      <w:sz w:val="20"/>
      <w:szCs w:val="20"/>
    </w:rPr>
  </w:style>
  <w:style w:type="character" w:customStyle="1" w:styleId="CommentTextChar">
    <w:name w:val="Comment Text Char"/>
    <w:basedOn w:val="DefaultParagraphFont"/>
    <w:link w:val="CommentText"/>
    <w:uiPriority w:val="99"/>
    <w:semiHidden/>
    <w:rsid w:val="00EC188E"/>
    <w:rPr>
      <w:sz w:val="20"/>
      <w:szCs w:val="20"/>
    </w:rPr>
  </w:style>
  <w:style w:type="paragraph" w:styleId="CommentSubject">
    <w:name w:val="annotation subject"/>
    <w:basedOn w:val="CommentText"/>
    <w:next w:val="CommentText"/>
    <w:link w:val="CommentSubjectChar"/>
    <w:uiPriority w:val="99"/>
    <w:semiHidden/>
    <w:unhideWhenUsed/>
    <w:rsid w:val="00EC188E"/>
    <w:rPr>
      <w:b/>
      <w:bCs/>
    </w:rPr>
  </w:style>
  <w:style w:type="character" w:customStyle="1" w:styleId="CommentSubjectChar">
    <w:name w:val="Comment Subject Char"/>
    <w:basedOn w:val="CommentTextChar"/>
    <w:link w:val="CommentSubject"/>
    <w:uiPriority w:val="99"/>
    <w:semiHidden/>
    <w:rsid w:val="00EC188E"/>
    <w:rPr>
      <w:b/>
      <w:bCs/>
      <w:sz w:val="20"/>
      <w:szCs w:val="20"/>
    </w:rPr>
  </w:style>
  <w:style w:type="paragraph" w:styleId="BalloonText">
    <w:name w:val="Balloon Text"/>
    <w:basedOn w:val="Normal"/>
    <w:link w:val="BalloonTextChar"/>
    <w:uiPriority w:val="99"/>
    <w:semiHidden/>
    <w:unhideWhenUsed/>
    <w:rsid w:val="00EC18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88E"/>
    <w:rPr>
      <w:rFonts w:ascii="Segoe UI" w:hAnsi="Segoe UI" w:cs="Segoe UI"/>
      <w:sz w:val="18"/>
      <w:szCs w:val="18"/>
    </w:rPr>
  </w:style>
  <w:style w:type="table" w:styleId="PlainTable2">
    <w:name w:val="Plain Table 2"/>
    <w:basedOn w:val="TableNormal"/>
    <w:uiPriority w:val="42"/>
    <w:rsid w:val="005A672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unhideWhenUsed/>
    <w:rsid w:val="005A6727"/>
    <w:pPr>
      <w:spacing w:after="0" w:line="240" w:lineRule="auto"/>
    </w:pPr>
    <w:rPr>
      <w:sz w:val="20"/>
      <w:szCs w:val="20"/>
    </w:rPr>
  </w:style>
  <w:style w:type="character" w:customStyle="1" w:styleId="FootnoteTextChar">
    <w:name w:val="Footnote Text Char"/>
    <w:basedOn w:val="DefaultParagraphFont"/>
    <w:link w:val="FootnoteText"/>
    <w:uiPriority w:val="99"/>
    <w:rsid w:val="005A6727"/>
    <w:rPr>
      <w:sz w:val="20"/>
      <w:szCs w:val="20"/>
    </w:rPr>
  </w:style>
  <w:style w:type="character" w:styleId="FootnoteReference">
    <w:name w:val="footnote reference"/>
    <w:basedOn w:val="DefaultParagraphFont"/>
    <w:uiPriority w:val="99"/>
    <w:semiHidden/>
    <w:unhideWhenUsed/>
    <w:rsid w:val="005A6727"/>
    <w:rPr>
      <w:vertAlign w:val="superscript"/>
    </w:rPr>
  </w:style>
  <w:style w:type="paragraph" w:styleId="ListParagraph">
    <w:name w:val="List Paragraph"/>
    <w:basedOn w:val="Normal"/>
    <w:uiPriority w:val="34"/>
    <w:qFormat/>
    <w:rsid w:val="00F00E8A"/>
    <w:pPr>
      <w:ind w:left="720"/>
      <w:contextualSpacing/>
    </w:pPr>
  </w:style>
  <w:style w:type="paragraph" w:styleId="Revision">
    <w:name w:val="Revision"/>
    <w:hidden/>
    <w:uiPriority w:val="99"/>
    <w:semiHidden/>
    <w:rsid w:val="00735729"/>
    <w:pPr>
      <w:spacing w:after="0" w:line="240" w:lineRule="auto"/>
    </w:pPr>
  </w:style>
  <w:style w:type="paragraph" w:customStyle="1" w:styleId="Default">
    <w:name w:val="Default"/>
    <w:rsid w:val="00084BFA"/>
    <w:pPr>
      <w:autoSpaceDE w:val="0"/>
      <w:autoSpaceDN w:val="0"/>
      <w:adjustRightInd w:val="0"/>
      <w:spacing w:after="0" w:line="240" w:lineRule="auto"/>
    </w:pPr>
    <w:rPr>
      <w:rFonts w:ascii="MetaPro-Bold" w:hAnsi="MetaPro-Bold" w:cs="MetaPro-Bold"/>
      <w:color w:val="000000"/>
      <w:sz w:val="24"/>
      <w:szCs w:val="24"/>
    </w:rPr>
  </w:style>
  <w:style w:type="character" w:customStyle="1" w:styleId="A0">
    <w:name w:val="A0"/>
    <w:uiPriority w:val="99"/>
    <w:rsid w:val="00084BFA"/>
    <w:rPr>
      <w:rFonts w:cs="MetaPro-Bold"/>
      <w:b/>
      <w:bCs/>
      <w:color w:val="000000"/>
      <w:sz w:val="74"/>
      <w:szCs w:val="74"/>
    </w:rPr>
  </w:style>
  <w:style w:type="paragraph" w:styleId="EndnoteText">
    <w:name w:val="endnote text"/>
    <w:basedOn w:val="Normal"/>
    <w:link w:val="EndnoteTextChar"/>
    <w:uiPriority w:val="99"/>
    <w:semiHidden/>
    <w:unhideWhenUsed/>
    <w:rsid w:val="0097628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7628A"/>
    <w:rPr>
      <w:sz w:val="20"/>
      <w:szCs w:val="20"/>
    </w:rPr>
  </w:style>
  <w:style w:type="character" w:styleId="EndnoteReference">
    <w:name w:val="endnote reference"/>
    <w:basedOn w:val="DefaultParagraphFont"/>
    <w:uiPriority w:val="99"/>
    <w:semiHidden/>
    <w:unhideWhenUsed/>
    <w:rsid w:val="0097628A"/>
    <w:rPr>
      <w:vertAlign w:val="superscript"/>
    </w:rPr>
  </w:style>
  <w:style w:type="character" w:styleId="Hyperlink">
    <w:name w:val="Hyperlink"/>
    <w:basedOn w:val="DefaultParagraphFont"/>
    <w:uiPriority w:val="99"/>
    <w:unhideWhenUsed/>
    <w:rsid w:val="0097628A"/>
    <w:rPr>
      <w:color w:val="0563C1" w:themeColor="hyperlink"/>
      <w:u w:val="single"/>
    </w:rPr>
  </w:style>
  <w:style w:type="character" w:styleId="UnresolvedMention">
    <w:name w:val="Unresolved Mention"/>
    <w:basedOn w:val="DefaultParagraphFont"/>
    <w:uiPriority w:val="99"/>
    <w:semiHidden/>
    <w:unhideWhenUsed/>
    <w:rsid w:val="009762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408091">
      <w:bodyDiv w:val="1"/>
      <w:marLeft w:val="0"/>
      <w:marRight w:val="0"/>
      <w:marTop w:val="0"/>
      <w:marBottom w:val="0"/>
      <w:divBdr>
        <w:top w:val="none" w:sz="0" w:space="0" w:color="auto"/>
        <w:left w:val="none" w:sz="0" w:space="0" w:color="auto"/>
        <w:bottom w:val="none" w:sz="0" w:space="0" w:color="auto"/>
        <w:right w:val="none" w:sz="0" w:space="0" w:color="auto"/>
      </w:divBdr>
      <w:divsChild>
        <w:div w:id="1747998821">
          <w:marLeft w:val="562"/>
          <w:marRight w:val="0"/>
          <w:marTop w:val="120"/>
          <w:marBottom w:val="120"/>
          <w:divBdr>
            <w:top w:val="none" w:sz="0" w:space="0" w:color="auto"/>
            <w:left w:val="none" w:sz="0" w:space="0" w:color="auto"/>
            <w:bottom w:val="none" w:sz="0" w:space="0" w:color="auto"/>
            <w:right w:val="none" w:sz="0" w:space="0" w:color="auto"/>
          </w:divBdr>
        </w:div>
        <w:div w:id="1448544814">
          <w:marLeft w:val="562"/>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s.strath.ac.uk/download/Fraser/202004/Modelling-Economic-Impac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s://www.sbs.strath.ac.uk/download/Fraser/202004/Modelling-Economic-Impact.pdf"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77962-BE21-4043-814F-611DA81A4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2139</Words>
  <Characters>12194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Congreve</dc:creator>
  <cp:keywords/>
  <dc:description/>
  <cp:lastModifiedBy>Emma Congreve</cp:lastModifiedBy>
  <cp:revision>3</cp:revision>
  <dcterms:created xsi:type="dcterms:W3CDTF">2020-06-10T16:20:00Z</dcterms:created>
  <dcterms:modified xsi:type="dcterms:W3CDTF">2020-06-10T16:21:00Z</dcterms:modified>
</cp:coreProperties>
</file>